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Tests - verified end to end: all three images build clean; the full docker compose stack starts healthy; a login and page load through each frontend succeed via the nginx-to-backend proxy with zero console errors.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Tests — the language-switch test matrix shrinks to the 9 official languages; no case remains that exercises an English-fallback placeholder language.</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Tests — the language-switch test matrix can now assert zero English-fallback keys for any of the 9 official languages, including the group-storefront and e-Stamp confirmation screens.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Tests — a deployment smoke test can now assert both Netlify sites return 200 on their root and on a deep client-side route (verified via curl this pass).</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Tests — the storefront home-page banner test can now assert translated heading/body/link label text for all 3 banners in all 9 languages, not just banner #1.</w:t>
      </w:r>
    </w:p>
    <w:p>
      <w:pPr>
        <w:pStyle w:val="Heading1"/>
      </w:pPr>
      <w:r>
        <w:t>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Tests — verified by rendering the nginx template with real domain values and passing nginx -t inside the pinned nginx:1.27-alpine image; no application test suite affected.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