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UAT - an administrator can open Companies, see Morise Research &amp; Consultancy Ltd among the seven subsidiaries, and open it to see its five field offices, twelve departments and six starter policies.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UAT - an administrator can open Products, filter to Morise Research &amp; Consultancy Ltd, and see its 23 priced services with branch, category, price and stock.</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UAT - an administrator can bring up the entire system with `docker compose up -d --build` and sign in / browse exactly as they would against the natively-run services, on the same URLs.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UAT — a UAT scenario can now assert the picker shows exactly 9 fully-translated languages, grouped as the administrator specified.</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UAT — a UAT scenario can now assert every storefront screen, in every official language, shows translated text with no residual English strings outside proper nouns.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UAT — an administrator can now browse the Admin app and Customer Storefront at their Netlify URLs; both will show working navigation but failing API calls until the backend has a public URL — an expected, documented limitation.</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UAT — a UAT scenario can now assert every home-page banner reads correctly in every official language, not just English.</w:t>
      </w:r>
    </w:p>
    <w:p>
      <w:pPr>
        <w:pStyle w:val="Heading1"/>
      </w:pPr>
      <w:r>
        <w:t>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UAT — no UAT impact: this is an infrastructure change with no user-visible behaviour difference beyond the padlock in the browser address bar.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