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Development Plan</w:t>
      </w:r>
    </w:p>
    <w:p>
      <w:pPr>
        <w:pStyle w:val="BodyText"/>
        <w:bidi w:val="0"/>
        <w:spacing w:before="30" w:after="283"/>
        <w:ind w:hanging="0" w:left="0" w:right="0"/>
        <w:jc w:val="left"/>
        <w:rPr>
          <w:color w:val="444444"/>
          <w:sz w:val="24"/>
        </w:rPr>
      </w:pPr>
      <w:r>
        <w:rPr>
          <w:color w:val="444444"/>
          <w:sz w:val="24"/>
        </w:rPr>
        <w:t>Morise Holdings Limited Business Management System (MBMS)</w:t>
      </w:r>
    </w:p>
    <w:tbl>
      <w:tblPr>
        <w:tblW w:w="11339" w:type="dxa"/>
        <w:jc w:val="left"/>
        <w:tblInd w:w="28" w:type="dxa"/>
        <w:tblLayout w:type="fixed"/>
        <w:tblCellMar>
          <w:top w:w="28" w:type="dxa"/>
          <w:left w:w="28" w:type="dxa"/>
          <w:bottom w:w="28" w:type="dxa"/>
          <w:right w:w="28" w:type="dxa"/>
        </w:tblCellMar>
      </w:tblPr>
      <w:tblGrid>
        <w:gridCol w:w="1895"/>
        <w:gridCol w:w="9444"/>
      </w:tblGrid>
      <w:tr>
        <w:trPr/>
        <w:tc>
          <w:tcPr>
            <w:tcW w:w="1895" w:type="dxa"/>
            <w:tcBorders/>
            <w:vAlign w:val="center"/>
          </w:tcPr>
          <w:p>
            <w:pPr>
              <w:pStyle w:val="TableContents"/>
              <w:bidi w:val="0"/>
              <w:spacing w:before="0" w:after="283"/>
              <w:jc w:val="left"/>
              <w:rPr>
                <w:b/>
              </w:rPr>
            </w:pPr>
            <w:r>
              <w:rPr>
                <w:b/>
              </w:rPr>
              <w:t>Document Type:</w:t>
            </w:r>
          </w:p>
        </w:tc>
        <w:tc>
          <w:tcPr>
            <w:tcW w:w="9444" w:type="dxa"/>
            <w:tcBorders/>
            <w:vAlign w:val="center"/>
          </w:tcPr>
          <w:p>
            <w:pPr>
              <w:pStyle w:val="TableContents"/>
              <w:bidi w:val="0"/>
              <w:spacing w:before="0" w:after="283"/>
              <w:jc w:val="left"/>
              <w:rPr/>
            </w:pPr>
            <w:r>
              <w:rPr/>
              <w:t>Development Plan</w:t>
            </w:r>
          </w:p>
        </w:tc>
      </w:tr>
      <w:tr>
        <w:trPr/>
        <w:tc>
          <w:tcPr>
            <w:tcW w:w="1895" w:type="dxa"/>
            <w:tcBorders/>
            <w:vAlign w:val="center"/>
          </w:tcPr>
          <w:p>
            <w:pPr>
              <w:pStyle w:val="TableContents"/>
              <w:bidi w:val="0"/>
              <w:spacing w:before="0" w:after="283"/>
              <w:jc w:val="left"/>
              <w:rPr>
                <w:b/>
              </w:rPr>
            </w:pPr>
            <w:r>
              <w:rPr>
                <w:b/>
              </w:rPr>
              <w:t>Purpose:</w:t>
            </w:r>
          </w:p>
        </w:tc>
        <w:tc>
          <w:tcPr>
            <w:tcW w:w="9444" w:type="dxa"/>
            <w:tcBorders/>
            <w:vAlign w:val="center"/>
          </w:tcPr>
          <w:p>
            <w:pPr>
              <w:pStyle w:val="TableContents"/>
              <w:bidi w:val="0"/>
              <w:spacing w:before="0" w:after="283"/>
              <w:jc w:val="left"/>
              <w:rPr/>
            </w:pPr>
            <w:r>
              <w:rPr/>
              <w:t>Defines implementation phases and schedule</w:t>
            </w:r>
          </w:p>
        </w:tc>
      </w:tr>
      <w:tr>
        <w:trPr/>
        <w:tc>
          <w:tcPr>
            <w:tcW w:w="1895" w:type="dxa"/>
            <w:tcBorders/>
            <w:vAlign w:val="center"/>
          </w:tcPr>
          <w:p>
            <w:pPr>
              <w:pStyle w:val="TableContents"/>
              <w:bidi w:val="0"/>
              <w:spacing w:before="0" w:after="283"/>
              <w:jc w:val="left"/>
              <w:rPr>
                <w:b/>
              </w:rPr>
            </w:pPr>
            <w:r>
              <w:rPr>
                <w:b/>
              </w:rPr>
              <w:t>Version:</w:t>
            </w:r>
          </w:p>
        </w:tc>
        <w:tc>
          <w:tcPr>
            <w:tcW w:w="9444" w:type="dxa"/>
            <w:tcBorders/>
            <w:vAlign w:val="center"/>
          </w:tcPr>
          <w:p>
            <w:pPr>
              <w:pStyle w:val="TableContents"/>
              <w:bidi w:val="0"/>
              <w:spacing w:before="0" w:after="283"/>
              <w:jc w:val="left"/>
              <w:rPr/>
            </w:pPr>
            <w:r>
              <w:rPr/>
              <w:t>1.0 (Draft)</w:t>
            </w:r>
          </w:p>
        </w:tc>
      </w:tr>
      <w:tr>
        <w:trPr/>
        <w:tc>
          <w:tcPr>
            <w:tcW w:w="1895" w:type="dxa"/>
            <w:tcBorders/>
            <w:vAlign w:val="center"/>
          </w:tcPr>
          <w:p>
            <w:pPr>
              <w:pStyle w:val="TableContents"/>
              <w:bidi w:val="0"/>
              <w:spacing w:before="0" w:after="283"/>
              <w:jc w:val="left"/>
              <w:rPr>
                <w:b/>
              </w:rPr>
            </w:pPr>
            <w:r>
              <w:rPr>
                <w:b/>
              </w:rPr>
              <w:t>Date:</w:t>
            </w:r>
          </w:p>
        </w:tc>
        <w:tc>
          <w:tcPr>
            <w:tcW w:w="9444" w:type="dxa"/>
            <w:tcBorders/>
            <w:vAlign w:val="center"/>
          </w:tcPr>
          <w:p>
            <w:pPr>
              <w:pStyle w:val="TableContents"/>
              <w:bidi w:val="0"/>
              <w:spacing w:before="0" w:after="283"/>
              <w:jc w:val="left"/>
              <w:rPr/>
            </w:pPr>
            <w:r>
              <w:rPr/>
              <w:t>18 August 2026</w:t>
            </w:r>
          </w:p>
        </w:tc>
      </w:tr>
      <w:tr>
        <w:trPr/>
        <w:tc>
          <w:tcPr>
            <w:tcW w:w="1895" w:type="dxa"/>
            <w:tcBorders/>
            <w:vAlign w:val="center"/>
          </w:tcPr>
          <w:p>
            <w:pPr>
              <w:pStyle w:val="TableContents"/>
              <w:bidi w:val="0"/>
              <w:spacing w:before="0" w:after="283"/>
              <w:jc w:val="left"/>
              <w:rPr>
                <w:b/>
              </w:rPr>
            </w:pPr>
            <w:r>
              <w:rPr>
                <w:b/>
              </w:rPr>
              <w:t>Prepared by:</w:t>
            </w:r>
          </w:p>
        </w:tc>
        <w:tc>
          <w:tcPr>
            <w:tcW w:w="9444" w:type="dxa"/>
            <w:tcBorders/>
            <w:vAlign w:val="center"/>
          </w:tcPr>
          <w:p>
            <w:pPr>
              <w:pStyle w:val="TableContents"/>
              <w:bidi w:val="0"/>
              <w:spacing w:before="0" w:after="283"/>
              <w:jc w:val="left"/>
              <w:rPr/>
            </w:pPr>
            <w:r>
              <w:rPr/>
              <w:t>Obeke Godfrey, Director</w:t>
            </w:r>
          </w:p>
        </w:tc>
      </w:tr>
      <w:tr>
        <w:trPr/>
        <w:tc>
          <w:tcPr>
            <w:tcW w:w="1895" w:type="dxa"/>
            <w:tcBorders/>
            <w:vAlign w:val="center"/>
          </w:tcPr>
          <w:p>
            <w:pPr>
              <w:pStyle w:val="TableContents"/>
              <w:bidi w:val="0"/>
              <w:spacing w:before="0" w:after="283"/>
              <w:jc w:val="left"/>
              <w:rPr>
                <w:b/>
              </w:rPr>
            </w:pPr>
            <w:r>
              <w:rPr>
                <w:b/>
              </w:rPr>
              <w:t>Prepared for:</w:t>
            </w:r>
          </w:p>
        </w:tc>
        <w:tc>
          <w:tcPr>
            <w:tcW w:w="9444" w:type="dxa"/>
            <w:tcBorders/>
            <w:vAlign w:val="center"/>
          </w:tcPr>
          <w:p>
            <w:pPr>
              <w:pStyle w:val="TableContents"/>
              <w:bidi w:val="0"/>
              <w:spacing w:before="0" w:after="283"/>
              <w:jc w:val="left"/>
              <w:rPr/>
            </w:pPr>
            <w:r>
              <w:rPr/>
              <w:t>Board of Directors, Development Team / Technology Partner</w:t>
            </w:r>
          </w:p>
        </w:tc>
      </w:tr>
      <w:tr>
        <w:trPr/>
        <w:tc>
          <w:tcPr>
            <w:tcW w:w="1895" w:type="dxa"/>
            <w:tcBorders/>
            <w:vAlign w:val="center"/>
          </w:tcPr>
          <w:p>
            <w:pPr>
              <w:pStyle w:val="TableContents"/>
              <w:bidi w:val="0"/>
              <w:spacing w:before="0" w:after="283"/>
              <w:jc w:val="left"/>
              <w:rPr>
                <w:b/>
              </w:rPr>
            </w:pPr>
            <w:r>
              <w:rPr>
                <w:b/>
              </w:rPr>
              <w:t>Related documents:</w:t>
            </w:r>
          </w:p>
        </w:tc>
        <w:tc>
          <w:tcPr>
            <w:tcW w:w="9444" w:type="dxa"/>
            <w:tcBorders/>
            <w:vAlign w:val="center"/>
          </w:tcPr>
          <w:p>
            <w:pPr>
              <w:pStyle w:val="TableContents"/>
              <w:bidi w:val="0"/>
              <w:spacing w:before="0" w:after="283"/>
              <w:jc w:val="left"/>
              <w:rPr/>
            </w:pPr>
            <w:r>
              <w:rPr/>
              <w:t>01_Project Proposal; 06_User Stories, Epics and Product Backlog; 07_System Design Document (v2.0); 11_Deployment Plan</w:t>
            </w:r>
          </w:p>
        </w:tc>
      </w:tr>
    </w:tbl>
    <w:p>
      <w:pPr>
        <w:pStyle w:val="Heading2"/>
        <w:bidi w:val="0"/>
        <w:jc w:val="left"/>
        <w:rPr/>
      </w:pPr>
      <w:r>
        <w:rPr/>
        <w:t>1. Purpose</w:t>
      </w:r>
    </w:p>
    <w:p>
      <w:pPr>
        <w:pStyle w:val="BodyText"/>
        <w:bidi w:val="0"/>
        <w:jc w:val="left"/>
        <w:rPr/>
      </w:pPr>
      <w:r>
        <w:rPr/>
        <w:t>This is the sixteenth required document in the Group's software development procedures (Section 25, item 9). Several other documents already contain pieces of a schedule — 01_Project Proposal's five-phase roadmap, 06_User Stories' Phase 1 sprint sequence, and 03_Feasibility Study's schedule caution. This Development Plan is the single authoritative place those pieces are assembled, sequenced against real dependencies, and tied to the team and resourcing needed to execute them — rather than leaving the schedule scattered across documents written for other purposes.</w:t>
      </w:r>
    </w:p>
    <w:p>
      <w:pPr>
        <w:pStyle w:val="Heading2"/>
        <w:bidi w:val="0"/>
        <w:jc w:val="left"/>
        <w:rPr/>
      </w:pPr>
      <w:r>
        <w:rPr/>
        <w:t>2. Overall Phased Timeline</w:t>
      </w:r>
    </w:p>
    <w:p>
      <w:pPr>
        <w:pStyle w:val="BodyText"/>
        <w:bidi w:val="0"/>
        <w:jc w:val="left"/>
        <w:rPr/>
      </w:pPr>
      <w:r>
        <w:rPr/>
        <w:t xml:space="preserve">Per 01_Project Proposal, Section 5, delivery is phased and each phase is separately scoped, budgeted and approved before it begins. This plan provides </w:t>
      </w:r>
      <w:r>
        <w:rPr>
          <w:b/>
        </w:rPr>
        <w:t>detailed</w:t>
      </w:r>
      <w:r>
        <w:rPr/>
        <w:t xml:space="preserve"> scheduling for Phase 1 only (Section 4) — the only phase currently authorized — and an </w:t>
      </w:r>
      <w:r>
        <w:rPr>
          <w:b/>
        </w:rPr>
        <w:t>indicative sequencing</w:t>
      </w:r>
      <w:r>
        <w:rPr/>
        <w:t xml:space="preserve"> for Phases 2–5 (Section 7) that will be re-planned in its own right when each phase is proposed, consistent with the phase-gated funding approach the Board has already adopted.</w:t>
      </w:r>
    </w:p>
    <w:tbl>
      <w:tblPr>
        <w:tblW w:w="11339" w:type="dxa"/>
        <w:jc w:val="left"/>
        <w:tblInd w:w="28" w:type="dxa"/>
        <w:tblLayout w:type="fixed"/>
        <w:tblCellMar>
          <w:top w:w="28" w:type="dxa"/>
          <w:left w:w="28" w:type="dxa"/>
          <w:bottom w:w="28" w:type="dxa"/>
          <w:right w:w="28" w:type="dxa"/>
        </w:tblCellMar>
      </w:tblPr>
      <w:tblGrid>
        <w:gridCol w:w="3076"/>
        <w:gridCol w:w="5012"/>
        <w:gridCol w:w="3251"/>
      </w:tblGrid>
      <w:tr>
        <w:trPr/>
        <w:tc>
          <w:tcPr>
            <w:tcW w:w="3076" w:type="dxa"/>
            <w:tcBorders/>
            <w:vAlign w:val="center"/>
          </w:tcPr>
          <w:p>
            <w:pPr>
              <w:pStyle w:val="TableHeading"/>
              <w:suppressLineNumbers/>
              <w:shd w:fill="1F3864" w:val="clear"/>
              <w:bidi w:val="0"/>
              <w:spacing w:before="0" w:after="283"/>
              <w:jc w:val="left"/>
              <w:rPr/>
            </w:pPr>
            <w:r>
              <w:rPr/>
              <w:t>Phase</w:t>
            </w:r>
          </w:p>
        </w:tc>
        <w:tc>
          <w:tcPr>
            <w:tcW w:w="5012" w:type="dxa"/>
            <w:tcBorders/>
            <w:vAlign w:val="center"/>
          </w:tcPr>
          <w:p>
            <w:pPr>
              <w:pStyle w:val="TableHeading"/>
              <w:suppressLineNumbers/>
              <w:shd w:fill="1F3864" w:val="clear"/>
              <w:bidi w:val="0"/>
              <w:spacing w:before="0" w:after="283"/>
              <w:jc w:val="left"/>
              <w:rPr/>
            </w:pPr>
            <w:r>
              <w:rPr/>
              <w:t>Status</w:t>
            </w:r>
          </w:p>
        </w:tc>
        <w:tc>
          <w:tcPr>
            <w:tcW w:w="3251" w:type="dxa"/>
            <w:tcBorders/>
            <w:vAlign w:val="center"/>
          </w:tcPr>
          <w:p>
            <w:pPr>
              <w:pStyle w:val="TableHeading"/>
              <w:suppressLineNumbers/>
              <w:shd w:fill="1F3864" w:val="clear"/>
              <w:bidi w:val="0"/>
              <w:spacing w:before="0" w:after="283"/>
              <w:jc w:val="left"/>
              <w:rPr/>
            </w:pPr>
            <w:r>
              <w:rPr/>
              <w:t>Scheduling Detail in This Plan</w:t>
            </w:r>
          </w:p>
        </w:tc>
      </w:tr>
      <w:tr>
        <w:trPr/>
        <w:tc>
          <w:tcPr>
            <w:tcW w:w="3076" w:type="dxa"/>
            <w:tcBorders/>
            <w:vAlign w:val="center"/>
          </w:tcPr>
          <w:p>
            <w:pPr>
              <w:pStyle w:val="TableContents"/>
              <w:bidi w:val="0"/>
              <w:spacing w:before="0" w:after="283"/>
              <w:jc w:val="left"/>
              <w:rPr/>
            </w:pPr>
            <w:r>
              <w:rPr/>
              <w:t>Phase 1 — Core (MVP)</w:t>
            </w:r>
          </w:p>
        </w:tc>
        <w:tc>
          <w:tcPr>
            <w:tcW w:w="5012" w:type="dxa"/>
            <w:tcBorders/>
            <w:vAlign w:val="center"/>
          </w:tcPr>
          <w:p>
            <w:pPr>
              <w:pStyle w:val="TableContents"/>
              <w:bidi w:val="0"/>
              <w:spacing w:before="0" w:after="283"/>
              <w:jc w:val="left"/>
              <w:rPr/>
            </w:pPr>
            <w:r>
              <w:rPr/>
              <w:t>Approved; in progress once a development team is engaged</w:t>
            </w:r>
          </w:p>
        </w:tc>
        <w:tc>
          <w:tcPr>
            <w:tcW w:w="3251" w:type="dxa"/>
            <w:tcBorders/>
            <w:vAlign w:val="center"/>
          </w:tcPr>
          <w:p>
            <w:pPr>
              <w:pStyle w:val="TableContents"/>
              <w:bidi w:val="0"/>
              <w:spacing w:before="0" w:after="283"/>
              <w:jc w:val="left"/>
              <w:rPr/>
            </w:pPr>
            <w:r>
              <w:rPr/>
              <w:t>Full sprint-level schedule (Section 4)</w:t>
            </w:r>
          </w:p>
        </w:tc>
      </w:tr>
      <w:tr>
        <w:trPr/>
        <w:tc>
          <w:tcPr>
            <w:tcW w:w="3076" w:type="dxa"/>
            <w:tcBorders/>
            <w:vAlign w:val="center"/>
          </w:tcPr>
          <w:p>
            <w:pPr>
              <w:pStyle w:val="TableContents"/>
              <w:bidi w:val="0"/>
              <w:spacing w:before="0" w:after="283"/>
              <w:jc w:val="left"/>
              <w:rPr/>
            </w:pPr>
            <w:r>
              <w:rPr/>
              <w:t>Phase 2 — Business Operations</w:t>
            </w:r>
          </w:p>
        </w:tc>
        <w:tc>
          <w:tcPr>
            <w:tcW w:w="5012" w:type="dxa"/>
            <w:tcBorders/>
            <w:vAlign w:val="center"/>
          </w:tcPr>
          <w:p>
            <w:pPr>
              <w:pStyle w:val="TableContents"/>
              <w:bidi w:val="0"/>
              <w:spacing w:before="0" w:after="283"/>
              <w:jc w:val="left"/>
              <w:rPr/>
            </w:pPr>
            <w:r>
              <w:rPr/>
              <w:t>Not yet proposed</w:t>
            </w:r>
          </w:p>
        </w:tc>
        <w:tc>
          <w:tcPr>
            <w:tcW w:w="3251" w:type="dxa"/>
            <w:tcBorders/>
            <w:vAlign w:val="center"/>
          </w:tcPr>
          <w:p>
            <w:pPr>
              <w:pStyle w:val="TableContents"/>
              <w:bidi w:val="0"/>
              <w:spacing w:before="0" w:after="283"/>
              <w:jc w:val="left"/>
              <w:rPr/>
            </w:pPr>
            <w:r>
              <w:rPr/>
              <w:t>Indicative sequencing only (Section 7)</w:t>
            </w:r>
          </w:p>
        </w:tc>
      </w:tr>
      <w:tr>
        <w:trPr/>
        <w:tc>
          <w:tcPr>
            <w:tcW w:w="3076" w:type="dxa"/>
            <w:tcBorders/>
            <w:vAlign w:val="center"/>
          </w:tcPr>
          <w:p>
            <w:pPr>
              <w:pStyle w:val="TableContents"/>
              <w:bidi w:val="0"/>
              <w:spacing w:before="0" w:after="283"/>
              <w:jc w:val="left"/>
              <w:rPr/>
            </w:pPr>
            <w:r>
              <w:rPr/>
              <w:t>Phase 3 — Advanced Finance</w:t>
            </w:r>
          </w:p>
        </w:tc>
        <w:tc>
          <w:tcPr>
            <w:tcW w:w="5012" w:type="dxa"/>
            <w:tcBorders/>
            <w:vAlign w:val="center"/>
          </w:tcPr>
          <w:p>
            <w:pPr>
              <w:pStyle w:val="TableContents"/>
              <w:bidi w:val="0"/>
              <w:spacing w:before="0" w:after="283"/>
              <w:jc w:val="left"/>
              <w:rPr/>
            </w:pPr>
            <w:r>
              <w:rPr/>
              <w:t>Not yet proposed</w:t>
            </w:r>
          </w:p>
        </w:tc>
        <w:tc>
          <w:tcPr>
            <w:tcW w:w="3251" w:type="dxa"/>
            <w:tcBorders/>
            <w:vAlign w:val="center"/>
          </w:tcPr>
          <w:p>
            <w:pPr>
              <w:pStyle w:val="TableContents"/>
              <w:bidi w:val="0"/>
              <w:spacing w:before="0" w:after="283"/>
              <w:jc w:val="left"/>
              <w:rPr/>
            </w:pPr>
            <w:r>
              <w:rPr/>
              <w:t>Indicative sequencing only (Section 7)</w:t>
            </w:r>
          </w:p>
        </w:tc>
      </w:tr>
      <w:tr>
        <w:trPr/>
        <w:tc>
          <w:tcPr>
            <w:tcW w:w="3076" w:type="dxa"/>
            <w:tcBorders/>
            <w:vAlign w:val="center"/>
          </w:tcPr>
          <w:p>
            <w:pPr>
              <w:pStyle w:val="TableContents"/>
              <w:bidi w:val="0"/>
              <w:spacing w:before="0" w:after="283"/>
              <w:jc w:val="left"/>
              <w:rPr/>
            </w:pPr>
            <w:r>
              <w:rPr/>
              <w:t>Phase 4 — Enterprise Management</w:t>
            </w:r>
          </w:p>
        </w:tc>
        <w:tc>
          <w:tcPr>
            <w:tcW w:w="5012" w:type="dxa"/>
            <w:tcBorders/>
            <w:vAlign w:val="center"/>
          </w:tcPr>
          <w:p>
            <w:pPr>
              <w:pStyle w:val="TableContents"/>
              <w:bidi w:val="0"/>
              <w:spacing w:before="0" w:after="283"/>
              <w:jc w:val="left"/>
              <w:rPr/>
            </w:pPr>
            <w:r>
              <w:rPr/>
              <w:t>Not yet proposed</w:t>
            </w:r>
          </w:p>
        </w:tc>
        <w:tc>
          <w:tcPr>
            <w:tcW w:w="3251" w:type="dxa"/>
            <w:tcBorders/>
            <w:vAlign w:val="center"/>
          </w:tcPr>
          <w:p>
            <w:pPr>
              <w:pStyle w:val="TableContents"/>
              <w:bidi w:val="0"/>
              <w:spacing w:before="0" w:after="283"/>
              <w:jc w:val="left"/>
              <w:rPr/>
            </w:pPr>
            <w:r>
              <w:rPr/>
              <w:t>Indicative sequencing only (Section 7)</w:t>
            </w:r>
          </w:p>
        </w:tc>
      </w:tr>
      <w:tr>
        <w:trPr/>
        <w:tc>
          <w:tcPr>
            <w:tcW w:w="3076" w:type="dxa"/>
            <w:tcBorders/>
            <w:vAlign w:val="center"/>
          </w:tcPr>
          <w:p>
            <w:pPr>
              <w:pStyle w:val="TableContents"/>
              <w:bidi w:val="0"/>
              <w:spacing w:before="0" w:after="283"/>
              <w:jc w:val="left"/>
              <w:rPr/>
            </w:pPr>
            <w:r>
              <w:rPr/>
              <w:t>Phase 5 — Integration and Security</w:t>
            </w:r>
          </w:p>
        </w:tc>
        <w:tc>
          <w:tcPr>
            <w:tcW w:w="5012" w:type="dxa"/>
            <w:tcBorders/>
            <w:vAlign w:val="center"/>
          </w:tcPr>
          <w:p>
            <w:pPr>
              <w:pStyle w:val="TableContents"/>
              <w:bidi w:val="0"/>
              <w:spacing w:before="0" w:after="283"/>
              <w:jc w:val="left"/>
              <w:rPr/>
            </w:pPr>
            <w:r>
              <w:rPr/>
              <w:t>Not yet proposed</w:t>
            </w:r>
          </w:p>
        </w:tc>
        <w:tc>
          <w:tcPr>
            <w:tcW w:w="3251" w:type="dxa"/>
            <w:tcBorders/>
            <w:vAlign w:val="center"/>
          </w:tcPr>
          <w:p>
            <w:pPr>
              <w:pStyle w:val="TableContents"/>
              <w:bidi w:val="0"/>
              <w:spacing w:before="0" w:after="283"/>
              <w:jc w:val="left"/>
              <w:rPr/>
            </w:pPr>
            <w:r>
              <w:rPr/>
              <w:t>Indicative sequencing only (Section 7)</w:t>
            </w:r>
          </w:p>
        </w:tc>
      </w:tr>
    </w:tbl>
    <w:p>
      <w:pPr>
        <w:pStyle w:val="Heading2"/>
        <w:bidi w:val="0"/>
        <w:jc w:val="left"/>
        <w:rPr/>
      </w:pPr>
      <w:r>
        <w:rPr/>
        <w:t>3. Team Structure and Resourcing</w:t>
      </w:r>
    </w:p>
    <w:p>
      <w:pPr>
        <w:pStyle w:val="BodyText"/>
        <w:bidi w:val="0"/>
        <w:jc w:val="left"/>
        <w:rPr/>
      </w:pPr>
      <w:r>
        <w:rPr/>
        <w:t>Per 03_Feasibility Study, Section 3.4 and 07_System Design Document, Section 12, Phase 1's microservices architecture requires more than general web-development skill. This plan assumes the following minimum team, to be confirmed once a development team/technology partner is engaged:</w:t>
      </w:r>
    </w:p>
    <w:tbl>
      <w:tblPr>
        <w:tblW w:w="11339" w:type="dxa"/>
        <w:jc w:val="left"/>
        <w:tblInd w:w="28" w:type="dxa"/>
        <w:tblLayout w:type="fixed"/>
        <w:tblCellMar>
          <w:top w:w="28" w:type="dxa"/>
          <w:left w:w="28" w:type="dxa"/>
          <w:bottom w:w="28" w:type="dxa"/>
          <w:right w:w="28" w:type="dxa"/>
        </w:tblCellMar>
      </w:tblPr>
      <w:tblGrid>
        <w:gridCol w:w="2423"/>
        <w:gridCol w:w="3201"/>
        <w:gridCol w:w="5715"/>
      </w:tblGrid>
      <w:tr>
        <w:trPr/>
        <w:tc>
          <w:tcPr>
            <w:tcW w:w="2423" w:type="dxa"/>
            <w:tcBorders/>
            <w:vAlign w:val="center"/>
          </w:tcPr>
          <w:p>
            <w:pPr>
              <w:pStyle w:val="TableHeading"/>
              <w:suppressLineNumbers/>
              <w:shd w:fill="1F3864" w:val="clear"/>
              <w:bidi w:val="0"/>
              <w:spacing w:before="0" w:after="283"/>
              <w:jc w:val="left"/>
              <w:rPr/>
            </w:pPr>
            <w:r>
              <w:rPr/>
              <w:t>Role</w:t>
            </w:r>
          </w:p>
        </w:tc>
        <w:tc>
          <w:tcPr>
            <w:tcW w:w="3201" w:type="dxa"/>
            <w:tcBorders/>
            <w:vAlign w:val="center"/>
          </w:tcPr>
          <w:p>
            <w:pPr>
              <w:pStyle w:val="TableHeading"/>
              <w:suppressLineNumbers/>
              <w:shd w:fill="1F3864" w:val="clear"/>
              <w:bidi w:val="0"/>
              <w:spacing w:before="0" w:after="283"/>
              <w:jc w:val="left"/>
              <w:rPr/>
            </w:pPr>
            <w:r>
              <w:rPr/>
              <w:t>Count (indicative)</w:t>
            </w:r>
          </w:p>
        </w:tc>
        <w:tc>
          <w:tcPr>
            <w:tcW w:w="5715" w:type="dxa"/>
            <w:tcBorders/>
            <w:vAlign w:val="center"/>
          </w:tcPr>
          <w:p>
            <w:pPr>
              <w:pStyle w:val="TableHeading"/>
              <w:suppressLineNumbers/>
              <w:shd w:fill="1F3864" w:val="clear"/>
              <w:bidi w:val="0"/>
              <w:spacing w:before="0" w:after="283"/>
              <w:jc w:val="left"/>
              <w:rPr/>
            </w:pPr>
            <w:r>
              <w:rPr/>
              <w:t>Primary Responsibility</w:t>
            </w:r>
          </w:p>
        </w:tc>
      </w:tr>
      <w:tr>
        <w:trPr/>
        <w:tc>
          <w:tcPr>
            <w:tcW w:w="2423" w:type="dxa"/>
            <w:tcBorders/>
            <w:vAlign w:val="center"/>
          </w:tcPr>
          <w:p>
            <w:pPr>
              <w:pStyle w:val="TableContents"/>
              <w:bidi w:val="0"/>
              <w:spacing w:before="0" w:after="283"/>
              <w:jc w:val="left"/>
              <w:rPr/>
            </w:pPr>
            <w:r>
              <w:rPr/>
              <w:t>Backend Developers (Node.js/NestJS)</w:t>
            </w:r>
          </w:p>
        </w:tc>
        <w:tc>
          <w:tcPr>
            <w:tcW w:w="3201" w:type="dxa"/>
            <w:tcBorders/>
            <w:vAlign w:val="center"/>
          </w:tcPr>
          <w:p>
            <w:pPr>
              <w:pStyle w:val="TableContents"/>
              <w:bidi w:val="0"/>
              <w:spacing w:before="0" w:after="283"/>
              <w:jc w:val="left"/>
              <w:rPr/>
            </w:pPr>
            <w:r>
              <w:rPr/>
              <w:t>2–3</w:t>
            </w:r>
          </w:p>
        </w:tc>
        <w:tc>
          <w:tcPr>
            <w:tcW w:w="5715" w:type="dxa"/>
            <w:tcBorders/>
            <w:vAlign w:val="center"/>
          </w:tcPr>
          <w:p>
            <w:pPr>
              <w:pStyle w:val="TableContents"/>
              <w:bidi w:val="0"/>
              <w:spacing w:before="0" w:after="283"/>
              <w:jc w:val="left"/>
              <w:rPr/>
            </w:pPr>
            <w:r>
              <w:rPr/>
              <w:t>Build and maintain the eight microservices (Section 5)</w:t>
            </w:r>
          </w:p>
        </w:tc>
      </w:tr>
      <w:tr>
        <w:trPr/>
        <w:tc>
          <w:tcPr>
            <w:tcW w:w="2423" w:type="dxa"/>
            <w:tcBorders/>
            <w:vAlign w:val="center"/>
          </w:tcPr>
          <w:p>
            <w:pPr>
              <w:pStyle w:val="TableContents"/>
              <w:bidi w:val="0"/>
              <w:spacing w:before="0" w:after="283"/>
              <w:jc w:val="left"/>
              <w:rPr/>
            </w:pPr>
            <w:r>
              <w:rPr/>
              <w:t>Frontend Developer</w:t>
            </w:r>
          </w:p>
        </w:tc>
        <w:tc>
          <w:tcPr>
            <w:tcW w:w="3201" w:type="dxa"/>
            <w:tcBorders/>
            <w:vAlign w:val="center"/>
          </w:tcPr>
          <w:p>
            <w:pPr>
              <w:pStyle w:val="TableContents"/>
              <w:bidi w:val="0"/>
              <w:spacing w:before="0" w:after="283"/>
              <w:jc w:val="left"/>
              <w:rPr/>
            </w:pPr>
            <w:r>
              <w:rPr/>
              <w:t>1</w:t>
            </w:r>
          </w:p>
        </w:tc>
        <w:tc>
          <w:tcPr>
            <w:tcW w:w="5715" w:type="dxa"/>
            <w:tcBorders/>
            <w:vAlign w:val="center"/>
          </w:tcPr>
          <w:p>
            <w:pPr>
              <w:pStyle w:val="TableContents"/>
              <w:bidi w:val="0"/>
              <w:spacing w:before="0" w:after="283"/>
              <w:jc w:val="left"/>
              <w:rPr/>
            </w:pPr>
            <w:r>
              <w:rPr/>
              <w:t>Build the UI consuming the API Gateway (09_API Specification)</w:t>
            </w:r>
          </w:p>
        </w:tc>
      </w:tr>
      <w:tr>
        <w:trPr/>
        <w:tc>
          <w:tcPr>
            <w:tcW w:w="2423" w:type="dxa"/>
            <w:tcBorders/>
            <w:vAlign w:val="center"/>
          </w:tcPr>
          <w:p>
            <w:pPr>
              <w:pStyle w:val="TableContents"/>
              <w:bidi w:val="0"/>
              <w:spacing w:before="0" w:after="283"/>
              <w:jc w:val="left"/>
              <w:rPr/>
            </w:pPr>
            <w:r>
              <w:rPr/>
              <w:t>DevOps / Platform Engineer</w:t>
            </w:r>
          </w:p>
        </w:tc>
        <w:tc>
          <w:tcPr>
            <w:tcW w:w="3201" w:type="dxa"/>
            <w:tcBorders/>
            <w:vAlign w:val="center"/>
          </w:tcPr>
          <w:p>
            <w:pPr>
              <w:pStyle w:val="TableContents"/>
              <w:bidi w:val="0"/>
              <w:spacing w:before="0" w:after="283"/>
              <w:jc w:val="left"/>
              <w:rPr/>
            </w:pPr>
            <w:r>
              <w:rPr/>
              <w:t>1 (may be combined with a backend role on a small team)</w:t>
            </w:r>
          </w:p>
        </w:tc>
        <w:tc>
          <w:tcPr>
            <w:tcW w:w="5715" w:type="dxa"/>
            <w:tcBorders/>
            <w:vAlign w:val="center"/>
          </w:tcPr>
          <w:p>
            <w:pPr>
              <w:pStyle w:val="TableContents"/>
              <w:bidi w:val="0"/>
              <w:spacing w:before="0" w:after="283"/>
              <w:jc w:val="left"/>
              <w:rPr/>
            </w:pPr>
            <w:r>
              <w:rPr/>
              <w:t>Sprint 0 platform setup; CI/CD; Kafka/observability stack (07_System Design Document, Section 11)</w:t>
            </w:r>
          </w:p>
        </w:tc>
      </w:tr>
      <w:tr>
        <w:trPr/>
        <w:tc>
          <w:tcPr>
            <w:tcW w:w="2423" w:type="dxa"/>
            <w:tcBorders/>
            <w:vAlign w:val="center"/>
          </w:tcPr>
          <w:p>
            <w:pPr>
              <w:pStyle w:val="TableContents"/>
              <w:bidi w:val="0"/>
              <w:spacing w:before="0" w:after="283"/>
              <w:jc w:val="left"/>
              <w:rPr/>
            </w:pPr>
            <w:r>
              <w:rPr/>
              <w:t>QA/Test Engineer</w:t>
            </w:r>
          </w:p>
        </w:tc>
        <w:tc>
          <w:tcPr>
            <w:tcW w:w="3201" w:type="dxa"/>
            <w:tcBorders/>
            <w:vAlign w:val="center"/>
          </w:tcPr>
          <w:p>
            <w:pPr>
              <w:pStyle w:val="TableContents"/>
              <w:bidi w:val="0"/>
              <w:spacing w:before="0" w:after="283"/>
              <w:jc w:val="left"/>
              <w:rPr/>
            </w:pPr>
            <w:r>
              <w:rPr/>
              <w:t>1</w:t>
            </w:r>
          </w:p>
        </w:tc>
        <w:tc>
          <w:tcPr>
            <w:tcW w:w="5715" w:type="dxa"/>
            <w:tcBorders/>
            <w:vAlign w:val="center"/>
          </w:tcPr>
          <w:p>
            <w:pPr>
              <w:pStyle w:val="TableContents"/>
              <w:bidi w:val="0"/>
              <w:spacing w:before="0" w:after="283"/>
              <w:jc w:val="left"/>
              <w:rPr/>
            </w:pPr>
            <w:r>
              <w:rPr/>
              <w:t>Contract/system testing, test case maintenance (10_Test Plan)</w:t>
            </w:r>
          </w:p>
        </w:tc>
      </w:tr>
      <w:tr>
        <w:trPr/>
        <w:tc>
          <w:tcPr>
            <w:tcW w:w="2423" w:type="dxa"/>
            <w:tcBorders/>
            <w:vAlign w:val="center"/>
          </w:tcPr>
          <w:p>
            <w:pPr>
              <w:pStyle w:val="TableContents"/>
              <w:bidi w:val="0"/>
              <w:spacing w:before="0" w:after="283"/>
              <w:jc w:val="left"/>
              <w:rPr/>
            </w:pPr>
            <w:r>
              <w:rPr/>
              <w:t>IT Administrator</w:t>
            </w:r>
          </w:p>
        </w:tc>
        <w:tc>
          <w:tcPr>
            <w:tcW w:w="3201" w:type="dxa"/>
            <w:tcBorders/>
            <w:vAlign w:val="center"/>
          </w:tcPr>
          <w:p>
            <w:pPr>
              <w:pStyle w:val="TableContents"/>
              <w:bidi w:val="0"/>
              <w:spacing w:before="0" w:after="283"/>
              <w:jc w:val="left"/>
              <w:rPr/>
            </w:pPr>
            <w:r>
              <w:rPr/>
              <w:t>1 (Group staff, not necessarily part of the vendor team)</w:t>
            </w:r>
          </w:p>
        </w:tc>
        <w:tc>
          <w:tcPr>
            <w:tcW w:w="5715" w:type="dxa"/>
            <w:tcBorders/>
            <w:vAlign w:val="center"/>
          </w:tcPr>
          <w:p>
            <w:pPr>
              <w:pStyle w:val="TableContents"/>
              <w:bidi w:val="0"/>
              <w:spacing w:before="0" w:after="283"/>
              <w:jc w:val="left"/>
              <w:rPr/>
            </w:pPr>
            <w:r>
              <w:rPr/>
              <w:t>Environment support, UAT coordination (12_UAT Plan), post-launch operations (15_Administrator Manual)</w:t>
            </w:r>
          </w:p>
        </w:tc>
      </w:tr>
    </w:tbl>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Team size directly affects the schedule in Section 4 below — the sprint plan assumes enough backend capacity to work on more than one service at a time during Sprints 3–5, where no dependency forces serial work (Section 5). A smaller team should expect Section 4's schedule to extend proportionally, not compress.</w:t>
      </w:r>
    </w:p>
    <w:p>
      <w:pPr>
        <w:pStyle w:val="Heading2"/>
        <w:bidi w:val="0"/>
        <w:jc w:val="left"/>
        <w:rPr/>
      </w:pPr>
      <w:r>
        <w:rPr/>
        <w:t>4. Development Methodology</w:t>
      </w:r>
    </w:p>
    <w:p>
      <w:pPr>
        <w:pStyle w:val="BodyText"/>
        <w:bidi w:val="0"/>
        <w:jc w:val="left"/>
        <w:rPr/>
      </w:pPr>
      <w:r>
        <w:rPr/>
        <w:t>Agile/Scrum, in 2-week sprints (per 06_User Stories, Section 3 and 03_Feasibility Study, Section 6's planning assumption), with standard ceremonies: sprint planning at the start of each sprint, a daily stand-up, a sprint review/demo at the end, and a retrospective. The Product Backlog (06_User Stories) is the single source of truth for what is being built in each sprint; this Development Plan sequences which epics land in which sprint and why.</w:t>
      </w:r>
    </w:p>
    <w:p>
      <w:pPr>
        <w:pStyle w:val="Heading2"/>
        <w:bidi w:val="0"/>
        <w:jc w:val="left"/>
        <w:rPr/>
      </w:pPr>
      <w:r>
        <w:rPr/>
        <w:t>5. Service Dependency Order (Critical Path)</w:t>
      </w:r>
    </w:p>
    <w:p>
      <w:pPr>
        <w:pStyle w:val="BodyText"/>
        <w:bidi w:val="0"/>
        <w:jc w:val="left"/>
        <w:rPr/>
      </w:pPr>
      <w:r>
        <w:rPr/>
        <w:t xml:space="preserve">07_System Design Document's eight services are not all independent of each other from a </w:t>
      </w:r>
      <w:r>
        <w:rPr>
          <w:i/>
        </w:rPr>
        <w:t>build sequencing</w:t>
      </w:r>
      <w:r>
        <w:rPr/>
        <w:t xml:space="preserve"> standpoint, even though they are independently deployable at runtime. The order below reflects genuine dependencies, not an arbitrary choice:</w:t>
      </w:r>
    </w:p>
    <w:p>
      <w:pPr>
        <w:pStyle w:val="BodyText"/>
        <w:bidi w:val="0"/>
        <w:spacing w:before="150" w:after="150"/>
        <w:ind w:hanging="0" w:left="150" w:right="150"/>
        <w:jc w:val="left"/>
        <w:rPr>
          <w:rFonts w:ascii="Courier New;monospace" w:hAnsi="Courier New;monospace"/>
          <w:sz w:val="19"/>
          <w:bdr w:val="single" w:sz="2" w:space="9" w:color="C7D3E8"/>
          <w:shd w:fill="F2F5FA" w:val="clear"/>
        </w:rPr>
      </w:pPr>
      <w:r>
        <w:rPr>
          <w:rFonts w:ascii="Courier New;monospace" w:hAnsi="Courier New;monospace"/>
          <w:sz w:val="19"/>
          <w:bdr w:val="single" w:sz="2" w:space="9" w:color="C7D3E8"/>
          <w:shd w:fill="F2F5FA" w:val="clear"/>
        </w:rPr>
        <w:t>Sprint 0: Platform (API Gateway, Kafka, CI/CD, observability)</w:t>
        <w:br/>
        <w:t>                                                            │</w:t>
        <w:br/>
        <w:t>                                                                ▼</w:t>
        <w:br/>
        <w:t>Sprint 1: Identity Service (Auth, Users, Roles)  — every other service depends on this for auth/scoping</w:t>
        <w:br/>
        <w:t>                                                                 ▼</w:t>
        <w:br/>
        <w:t>Sprint 2: Organization Service (Companies, Branches, Departments) — every master-data</w:t>
        <w:br/>
        <w:t>                                                    service below logically references company_id</w:t>
        <w:br/>
        <w:t>                                                                ▼</w:t>
        <w:br/>
        <w:t>Sprints 3–5: Employee │ Customer │ Supplier │ Product Services  — no dependency on each</w:t>
        <w:br/>
        <w:t>                                                          other — PARALLELIZABLE across the team (Section 3)</w:t>
        <w:br/>
        <w:t>                                                                ▼</w:t>
        <w:br/>
        <w:t>Sprints 5–6: Accounting Service  — depends only on Organization (company_id), can overlap</w:t>
        <w:br/>
        <w:t>                                                              the tail of Sprints 3–5 if a developer is free</w:t>
        <w:br/>
        <w:t>                                                                ▼</w:t>
        <w:br/>
        <w:t>Sprint 6: Audit &amp; Reporting Service (Dashboard + Audit Trail)  — must come LAST; it consumes</w:t>
        <w:br/>
        <w:t>                                                                 events every other service publishes</w:t>
        <w:br/>
        <w:t>                                                                ▼</w:t>
        <w:br/>
        <w:t>Sprint 7: System / Contract / Security Testing (10_Test Plan)  — needs every service deployed together</w:t>
        <w:br/>
        <w:t>                                                                  ▼</w:t>
        <w:br/>
        <w:t xml:space="preserve">Sprint 8: Alpha Testing (13_Alpha Test Plan) → UAT (12_UAT Plan) → Go-Live Rollout (11_Deployment Plan) </w:t>
      </w:r>
    </w:p>
    <w:p>
      <w:pPr>
        <w:pStyle w:val="Heading2"/>
        <w:bidi w:val="0"/>
        <w:jc w:val="left"/>
        <w:rPr/>
      </w:pPr>
      <w:r>
        <w:rPr/>
        <w:t>6. Phase 1 Sprint-by-Sprint Plan</w:t>
      </w:r>
    </w:p>
    <w:p>
      <w:pPr>
        <w:pStyle w:val="BodyText"/>
        <w:bidi w:val="0"/>
        <w:jc w:val="left"/>
        <w:rPr/>
      </w:pPr>
      <w:r>
        <w:rPr/>
        <w:t>Weeks are relative to Phase 1 kickoff (Week 1), since no start date is confirmed yet — this table should be re-dated once a development team is engaged and a kickoff date is set.</w:t>
      </w:r>
    </w:p>
    <w:tbl>
      <w:tblPr>
        <w:tblW w:w="11339" w:type="dxa"/>
        <w:jc w:val="left"/>
        <w:tblInd w:w="28" w:type="dxa"/>
        <w:tblLayout w:type="fixed"/>
        <w:tblCellMar>
          <w:top w:w="28" w:type="dxa"/>
          <w:left w:w="28" w:type="dxa"/>
          <w:bottom w:w="28" w:type="dxa"/>
          <w:right w:w="28" w:type="dxa"/>
        </w:tblCellMar>
      </w:tblPr>
      <w:tblGrid>
        <w:gridCol w:w="1233"/>
        <w:gridCol w:w="1328"/>
        <w:gridCol w:w="4802"/>
        <w:gridCol w:w="3976"/>
      </w:tblGrid>
      <w:tr>
        <w:trPr/>
        <w:tc>
          <w:tcPr>
            <w:tcW w:w="1233" w:type="dxa"/>
            <w:tcBorders/>
            <w:vAlign w:val="center"/>
          </w:tcPr>
          <w:p>
            <w:pPr>
              <w:pStyle w:val="TableHeading"/>
              <w:suppressLineNumbers/>
              <w:shd w:fill="1F3864" w:val="clear"/>
              <w:bidi w:val="0"/>
              <w:spacing w:before="0" w:after="283"/>
              <w:jc w:val="left"/>
              <w:rPr/>
            </w:pPr>
            <w:r>
              <w:rPr/>
              <w:t>Sprint</w:t>
            </w:r>
          </w:p>
        </w:tc>
        <w:tc>
          <w:tcPr>
            <w:tcW w:w="1328" w:type="dxa"/>
            <w:tcBorders/>
            <w:vAlign w:val="center"/>
          </w:tcPr>
          <w:p>
            <w:pPr>
              <w:pStyle w:val="TableHeading"/>
              <w:suppressLineNumbers/>
              <w:shd w:fill="1F3864" w:val="clear"/>
              <w:bidi w:val="0"/>
              <w:spacing w:before="0" w:after="283"/>
              <w:jc w:val="left"/>
              <w:rPr/>
            </w:pPr>
            <w:r>
              <w:rPr/>
              <w:t>Relative Weeks</w:t>
            </w:r>
          </w:p>
        </w:tc>
        <w:tc>
          <w:tcPr>
            <w:tcW w:w="4802" w:type="dxa"/>
            <w:tcBorders/>
            <w:vAlign w:val="center"/>
          </w:tcPr>
          <w:p>
            <w:pPr>
              <w:pStyle w:val="TableHeading"/>
              <w:suppressLineNumbers/>
              <w:shd w:fill="1F3864" w:val="clear"/>
              <w:bidi w:val="0"/>
              <w:spacing w:before="0" w:after="283"/>
              <w:jc w:val="left"/>
              <w:rPr/>
            </w:pPr>
            <w:r>
              <w:rPr/>
              <w:t>Focus</w:t>
            </w:r>
          </w:p>
        </w:tc>
        <w:tc>
          <w:tcPr>
            <w:tcW w:w="3976" w:type="dxa"/>
            <w:tcBorders/>
            <w:vAlign w:val="center"/>
          </w:tcPr>
          <w:p>
            <w:pPr>
              <w:pStyle w:val="TableHeading"/>
              <w:suppressLineNumbers/>
              <w:shd w:fill="1F3864" w:val="clear"/>
              <w:bidi w:val="0"/>
              <w:spacing w:before="0" w:after="283"/>
              <w:jc w:val="left"/>
              <w:rPr/>
            </w:pPr>
            <w:r>
              <w:rPr/>
              <w:t>Reference</w:t>
            </w:r>
          </w:p>
        </w:tc>
      </w:tr>
      <w:tr>
        <w:trPr/>
        <w:tc>
          <w:tcPr>
            <w:tcW w:w="1233" w:type="dxa"/>
            <w:tcBorders/>
            <w:vAlign w:val="center"/>
          </w:tcPr>
          <w:p>
            <w:pPr>
              <w:pStyle w:val="TableContents"/>
              <w:bidi w:val="0"/>
              <w:spacing w:before="0" w:after="283"/>
              <w:jc w:val="left"/>
              <w:rPr/>
            </w:pPr>
            <w:r>
              <w:rPr/>
              <w:t>Sprint 0</w:t>
            </w:r>
          </w:p>
        </w:tc>
        <w:tc>
          <w:tcPr>
            <w:tcW w:w="1328" w:type="dxa"/>
            <w:tcBorders/>
            <w:vAlign w:val="center"/>
          </w:tcPr>
          <w:p>
            <w:pPr>
              <w:pStyle w:val="TableContents"/>
              <w:bidi w:val="0"/>
              <w:spacing w:before="0" w:after="283"/>
              <w:jc w:val="left"/>
              <w:rPr/>
            </w:pPr>
            <w:r>
              <w:rPr/>
              <w:t>Weeks 1–2</w:t>
            </w:r>
          </w:p>
        </w:tc>
        <w:tc>
          <w:tcPr>
            <w:tcW w:w="4802" w:type="dxa"/>
            <w:tcBorders/>
            <w:vAlign w:val="center"/>
          </w:tcPr>
          <w:p>
            <w:pPr>
              <w:pStyle w:val="TableContents"/>
              <w:bidi w:val="0"/>
              <w:spacing w:before="0" w:after="283"/>
              <w:jc w:val="left"/>
              <w:rPr/>
            </w:pPr>
            <w:r>
              <w:rPr/>
              <w:t>Platform setup: API Gateway, Kafka, CI/CD per service, observability stack</w:t>
            </w:r>
          </w:p>
        </w:tc>
        <w:tc>
          <w:tcPr>
            <w:tcW w:w="3976" w:type="dxa"/>
            <w:tcBorders/>
            <w:vAlign w:val="center"/>
          </w:tcPr>
          <w:p>
            <w:pPr>
              <w:pStyle w:val="TableContents"/>
              <w:bidi w:val="0"/>
              <w:spacing w:before="0" w:after="283"/>
              <w:jc w:val="left"/>
              <w:rPr/>
            </w:pPr>
            <w:r>
              <w:rPr/>
              <w:t>07_System Design Document, Section 11</w:t>
            </w:r>
          </w:p>
        </w:tc>
      </w:tr>
      <w:tr>
        <w:trPr/>
        <w:tc>
          <w:tcPr>
            <w:tcW w:w="1233" w:type="dxa"/>
            <w:tcBorders/>
            <w:vAlign w:val="center"/>
          </w:tcPr>
          <w:p>
            <w:pPr>
              <w:pStyle w:val="TableContents"/>
              <w:bidi w:val="0"/>
              <w:spacing w:before="0" w:after="283"/>
              <w:jc w:val="left"/>
              <w:rPr/>
            </w:pPr>
            <w:r>
              <w:rPr/>
              <w:t>Sprint 1</w:t>
            </w:r>
          </w:p>
        </w:tc>
        <w:tc>
          <w:tcPr>
            <w:tcW w:w="1328" w:type="dxa"/>
            <w:tcBorders/>
            <w:vAlign w:val="center"/>
          </w:tcPr>
          <w:p>
            <w:pPr>
              <w:pStyle w:val="TableContents"/>
              <w:bidi w:val="0"/>
              <w:spacing w:before="0" w:after="283"/>
              <w:jc w:val="left"/>
              <w:rPr/>
            </w:pPr>
            <w:r>
              <w:rPr/>
              <w:t>Weeks 3–4</w:t>
            </w:r>
          </w:p>
        </w:tc>
        <w:tc>
          <w:tcPr>
            <w:tcW w:w="4802" w:type="dxa"/>
            <w:tcBorders/>
            <w:vAlign w:val="center"/>
          </w:tcPr>
          <w:p>
            <w:pPr>
              <w:pStyle w:val="TableContents"/>
              <w:bidi w:val="0"/>
              <w:spacing w:before="0" w:after="283"/>
              <w:jc w:val="left"/>
              <w:rPr/>
            </w:pPr>
            <w:r>
              <w:rPr/>
              <w:t>Identity Service: Authentication, Roles &amp; Permissions</w:t>
            </w:r>
          </w:p>
        </w:tc>
        <w:tc>
          <w:tcPr>
            <w:tcW w:w="3976" w:type="dxa"/>
            <w:tcBorders/>
            <w:vAlign w:val="center"/>
          </w:tcPr>
          <w:p>
            <w:pPr>
              <w:pStyle w:val="TableContents"/>
              <w:bidi w:val="0"/>
              <w:spacing w:before="0" w:after="283"/>
              <w:jc w:val="left"/>
              <w:rPr/>
            </w:pPr>
            <w:r>
              <w:rPr/>
              <w:t>06_User Stories, EPIC-01, EPIC-03</w:t>
            </w:r>
          </w:p>
        </w:tc>
      </w:tr>
      <w:tr>
        <w:trPr/>
        <w:tc>
          <w:tcPr>
            <w:tcW w:w="1233" w:type="dxa"/>
            <w:tcBorders/>
            <w:vAlign w:val="center"/>
          </w:tcPr>
          <w:p>
            <w:pPr>
              <w:pStyle w:val="TableContents"/>
              <w:bidi w:val="0"/>
              <w:spacing w:before="0" w:after="283"/>
              <w:jc w:val="left"/>
              <w:rPr/>
            </w:pPr>
            <w:r>
              <w:rPr/>
              <w:t>Sprint 2</w:t>
            </w:r>
          </w:p>
        </w:tc>
        <w:tc>
          <w:tcPr>
            <w:tcW w:w="1328" w:type="dxa"/>
            <w:tcBorders/>
            <w:vAlign w:val="center"/>
          </w:tcPr>
          <w:p>
            <w:pPr>
              <w:pStyle w:val="TableContents"/>
              <w:bidi w:val="0"/>
              <w:spacing w:before="0" w:after="283"/>
              <w:jc w:val="left"/>
              <w:rPr/>
            </w:pPr>
            <w:r>
              <w:rPr/>
              <w:t>Weeks 5–6</w:t>
            </w:r>
          </w:p>
        </w:tc>
        <w:tc>
          <w:tcPr>
            <w:tcW w:w="4802" w:type="dxa"/>
            <w:tcBorders/>
            <w:vAlign w:val="center"/>
          </w:tcPr>
          <w:p>
            <w:pPr>
              <w:pStyle w:val="TableContents"/>
              <w:bidi w:val="0"/>
              <w:spacing w:before="0" w:after="283"/>
              <w:jc w:val="left"/>
              <w:rPr/>
            </w:pPr>
            <w:r>
              <w:rPr/>
              <w:t>Organization Service: Company, Branch &amp; Department Structure</w:t>
            </w:r>
          </w:p>
        </w:tc>
        <w:tc>
          <w:tcPr>
            <w:tcW w:w="3976" w:type="dxa"/>
            <w:tcBorders/>
            <w:vAlign w:val="center"/>
          </w:tcPr>
          <w:p>
            <w:pPr>
              <w:pStyle w:val="TableContents"/>
              <w:bidi w:val="0"/>
              <w:spacing w:before="0" w:after="283"/>
              <w:jc w:val="left"/>
              <w:rPr/>
            </w:pPr>
            <w:r>
              <w:rPr/>
              <w:t>06_User Stories, EPIC-02</w:t>
            </w:r>
          </w:p>
        </w:tc>
      </w:tr>
      <w:tr>
        <w:trPr/>
        <w:tc>
          <w:tcPr>
            <w:tcW w:w="1233" w:type="dxa"/>
            <w:tcBorders/>
            <w:vAlign w:val="center"/>
          </w:tcPr>
          <w:p>
            <w:pPr>
              <w:pStyle w:val="TableContents"/>
              <w:bidi w:val="0"/>
              <w:spacing w:before="0" w:after="283"/>
              <w:jc w:val="left"/>
              <w:rPr/>
            </w:pPr>
            <w:r>
              <w:rPr/>
              <w:t>Sprint 3</w:t>
            </w:r>
          </w:p>
        </w:tc>
        <w:tc>
          <w:tcPr>
            <w:tcW w:w="1328" w:type="dxa"/>
            <w:tcBorders/>
            <w:vAlign w:val="center"/>
          </w:tcPr>
          <w:p>
            <w:pPr>
              <w:pStyle w:val="TableContents"/>
              <w:bidi w:val="0"/>
              <w:spacing w:before="0" w:after="283"/>
              <w:jc w:val="left"/>
              <w:rPr/>
            </w:pPr>
            <w:r>
              <w:rPr/>
              <w:t>Weeks 7–8</w:t>
            </w:r>
          </w:p>
        </w:tc>
        <w:tc>
          <w:tcPr>
            <w:tcW w:w="4802" w:type="dxa"/>
            <w:tcBorders/>
            <w:vAlign w:val="center"/>
          </w:tcPr>
          <w:p>
            <w:pPr>
              <w:pStyle w:val="TableContents"/>
              <w:bidi w:val="0"/>
              <w:spacing w:before="0" w:after="283"/>
              <w:jc w:val="left"/>
              <w:rPr/>
            </w:pPr>
            <w:r>
              <w:rPr/>
              <w:t>Employee Service</w:t>
            </w:r>
          </w:p>
        </w:tc>
        <w:tc>
          <w:tcPr>
            <w:tcW w:w="3976" w:type="dxa"/>
            <w:tcBorders/>
            <w:vAlign w:val="center"/>
          </w:tcPr>
          <w:p>
            <w:pPr>
              <w:pStyle w:val="TableContents"/>
              <w:bidi w:val="0"/>
              <w:spacing w:before="0" w:after="283"/>
              <w:jc w:val="left"/>
              <w:rPr/>
            </w:pPr>
            <w:r>
              <w:rPr/>
              <w:t>06_User Stories, EPIC-05</w:t>
            </w:r>
          </w:p>
        </w:tc>
      </w:tr>
      <w:tr>
        <w:trPr/>
        <w:tc>
          <w:tcPr>
            <w:tcW w:w="1233" w:type="dxa"/>
            <w:tcBorders/>
            <w:vAlign w:val="center"/>
          </w:tcPr>
          <w:p>
            <w:pPr>
              <w:pStyle w:val="TableContents"/>
              <w:bidi w:val="0"/>
              <w:spacing w:before="0" w:after="283"/>
              <w:jc w:val="left"/>
              <w:rPr/>
            </w:pPr>
            <w:r>
              <w:rPr/>
              <w:t>Sprint 4</w:t>
            </w:r>
          </w:p>
        </w:tc>
        <w:tc>
          <w:tcPr>
            <w:tcW w:w="1328" w:type="dxa"/>
            <w:tcBorders/>
            <w:vAlign w:val="center"/>
          </w:tcPr>
          <w:p>
            <w:pPr>
              <w:pStyle w:val="TableContents"/>
              <w:bidi w:val="0"/>
              <w:spacing w:before="0" w:after="283"/>
              <w:jc w:val="left"/>
              <w:rPr/>
            </w:pPr>
            <w:r>
              <w:rPr/>
              <w:t>Weeks 9–10</w:t>
            </w:r>
          </w:p>
        </w:tc>
        <w:tc>
          <w:tcPr>
            <w:tcW w:w="4802" w:type="dxa"/>
            <w:tcBorders/>
            <w:vAlign w:val="center"/>
          </w:tcPr>
          <w:p>
            <w:pPr>
              <w:pStyle w:val="TableContents"/>
              <w:bidi w:val="0"/>
              <w:spacing w:before="0" w:after="283"/>
              <w:jc w:val="left"/>
              <w:rPr/>
            </w:pPr>
            <w:r>
              <w:rPr/>
              <w:t>Customer &amp; Supplier Services</w:t>
            </w:r>
          </w:p>
        </w:tc>
        <w:tc>
          <w:tcPr>
            <w:tcW w:w="3976" w:type="dxa"/>
            <w:tcBorders/>
            <w:vAlign w:val="center"/>
          </w:tcPr>
          <w:p>
            <w:pPr>
              <w:pStyle w:val="TableContents"/>
              <w:bidi w:val="0"/>
              <w:spacing w:before="0" w:after="283"/>
              <w:jc w:val="left"/>
              <w:rPr/>
            </w:pPr>
            <w:r>
              <w:rPr/>
              <w:t>06_User Stories, EPIC-06, EPIC-07</w:t>
            </w:r>
          </w:p>
        </w:tc>
      </w:tr>
      <w:tr>
        <w:trPr/>
        <w:tc>
          <w:tcPr>
            <w:tcW w:w="1233" w:type="dxa"/>
            <w:tcBorders/>
            <w:vAlign w:val="center"/>
          </w:tcPr>
          <w:p>
            <w:pPr>
              <w:pStyle w:val="TableContents"/>
              <w:bidi w:val="0"/>
              <w:spacing w:before="0" w:after="283"/>
              <w:jc w:val="left"/>
              <w:rPr/>
            </w:pPr>
            <w:r>
              <w:rPr/>
              <w:t>Sprint 5</w:t>
            </w:r>
          </w:p>
        </w:tc>
        <w:tc>
          <w:tcPr>
            <w:tcW w:w="1328" w:type="dxa"/>
            <w:tcBorders/>
            <w:vAlign w:val="center"/>
          </w:tcPr>
          <w:p>
            <w:pPr>
              <w:pStyle w:val="TableContents"/>
              <w:bidi w:val="0"/>
              <w:spacing w:before="0" w:after="283"/>
              <w:jc w:val="left"/>
              <w:rPr/>
            </w:pPr>
            <w:r>
              <w:rPr/>
              <w:t>Weeks 11–12</w:t>
            </w:r>
          </w:p>
        </w:tc>
        <w:tc>
          <w:tcPr>
            <w:tcW w:w="4802" w:type="dxa"/>
            <w:tcBorders/>
            <w:vAlign w:val="center"/>
          </w:tcPr>
          <w:p>
            <w:pPr>
              <w:pStyle w:val="TableContents"/>
              <w:bidi w:val="0"/>
              <w:spacing w:before="0" w:after="283"/>
              <w:jc w:val="left"/>
              <w:rPr/>
            </w:pPr>
            <w:r>
              <w:rPr/>
              <w:t>Product Service &amp; Accounting Service setup</w:t>
            </w:r>
          </w:p>
        </w:tc>
        <w:tc>
          <w:tcPr>
            <w:tcW w:w="3976" w:type="dxa"/>
            <w:tcBorders/>
            <w:vAlign w:val="center"/>
          </w:tcPr>
          <w:p>
            <w:pPr>
              <w:pStyle w:val="TableContents"/>
              <w:bidi w:val="0"/>
              <w:spacing w:before="0" w:after="283"/>
              <w:jc w:val="left"/>
              <w:rPr/>
            </w:pPr>
            <w:r>
              <w:rPr/>
              <w:t>06_User Stories, EPIC-08, EPIC-09 (start)</w:t>
            </w:r>
          </w:p>
        </w:tc>
      </w:tr>
      <w:tr>
        <w:trPr/>
        <w:tc>
          <w:tcPr>
            <w:tcW w:w="1233" w:type="dxa"/>
            <w:tcBorders/>
            <w:vAlign w:val="center"/>
          </w:tcPr>
          <w:p>
            <w:pPr>
              <w:pStyle w:val="TableContents"/>
              <w:bidi w:val="0"/>
              <w:spacing w:before="0" w:after="283"/>
              <w:jc w:val="left"/>
              <w:rPr/>
            </w:pPr>
            <w:r>
              <w:rPr/>
              <w:t>Sprint 6</w:t>
            </w:r>
          </w:p>
        </w:tc>
        <w:tc>
          <w:tcPr>
            <w:tcW w:w="1328" w:type="dxa"/>
            <w:tcBorders/>
            <w:vAlign w:val="center"/>
          </w:tcPr>
          <w:p>
            <w:pPr>
              <w:pStyle w:val="TableContents"/>
              <w:bidi w:val="0"/>
              <w:spacing w:before="0" w:after="283"/>
              <w:jc w:val="left"/>
              <w:rPr/>
            </w:pPr>
            <w:r>
              <w:rPr/>
              <w:t>Weeks 13–14</w:t>
            </w:r>
          </w:p>
        </w:tc>
        <w:tc>
          <w:tcPr>
            <w:tcW w:w="4802" w:type="dxa"/>
            <w:tcBorders/>
            <w:vAlign w:val="center"/>
          </w:tcPr>
          <w:p>
            <w:pPr>
              <w:pStyle w:val="TableContents"/>
              <w:bidi w:val="0"/>
              <w:spacing w:before="0" w:after="283"/>
              <w:jc w:val="left"/>
              <w:rPr/>
            </w:pPr>
            <w:r>
              <w:rPr/>
              <w:t>Accounting completion, Dashboard, Audit Trail</w:t>
            </w:r>
          </w:p>
        </w:tc>
        <w:tc>
          <w:tcPr>
            <w:tcW w:w="3976" w:type="dxa"/>
            <w:tcBorders/>
            <w:vAlign w:val="center"/>
          </w:tcPr>
          <w:p>
            <w:pPr>
              <w:pStyle w:val="TableContents"/>
              <w:bidi w:val="0"/>
              <w:spacing w:before="0" w:after="283"/>
              <w:jc w:val="left"/>
              <w:rPr/>
            </w:pPr>
            <w:r>
              <w:rPr/>
              <w:t>06_User Stories, EPIC-09 (finish), EPIC-04, EPIC-10</w:t>
            </w:r>
          </w:p>
        </w:tc>
      </w:tr>
      <w:tr>
        <w:trPr/>
        <w:tc>
          <w:tcPr>
            <w:tcW w:w="1233" w:type="dxa"/>
            <w:tcBorders/>
            <w:vAlign w:val="center"/>
          </w:tcPr>
          <w:p>
            <w:pPr>
              <w:pStyle w:val="TableContents"/>
              <w:bidi w:val="0"/>
              <w:spacing w:before="0" w:after="283"/>
              <w:jc w:val="left"/>
              <w:rPr/>
            </w:pPr>
            <w:r>
              <w:rPr/>
              <w:t>Sprint 7</w:t>
            </w:r>
          </w:p>
        </w:tc>
        <w:tc>
          <w:tcPr>
            <w:tcW w:w="1328" w:type="dxa"/>
            <w:tcBorders/>
            <w:vAlign w:val="center"/>
          </w:tcPr>
          <w:p>
            <w:pPr>
              <w:pStyle w:val="TableContents"/>
              <w:bidi w:val="0"/>
              <w:spacing w:before="0" w:after="283"/>
              <w:jc w:val="left"/>
              <w:rPr/>
            </w:pPr>
            <w:r>
              <w:rPr/>
              <w:t>Weeks 15–16</w:t>
            </w:r>
          </w:p>
        </w:tc>
        <w:tc>
          <w:tcPr>
            <w:tcW w:w="4802" w:type="dxa"/>
            <w:tcBorders/>
            <w:vAlign w:val="center"/>
          </w:tcPr>
          <w:p>
            <w:pPr>
              <w:pStyle w:val="TableContents"/>
              <w:bidi w:val="0"/>
              <w:spacing w:before="0" w:after="283"/>
              <w:jc w:val="left"/>
              <w:rPr/>
            </w:pPr>
            <w:r>
              <w:rPr/>
              <w:t>Contract, system and security testing</w:t>
            </w:r>
          </w:p>
        </w:tc>
        <w:tc>
          <w:tcPr>
            <w:tcW w:w="3976" w:type="dxa"/>
            <w:tcBorders/>
            <w:vAlign w:val="center"/>
          </w:tcPr>
          <w:p>
            <w:pPr>
              <w:pStyle w:val="TableContents"/>
              <w:bidi w:val="0"/>
              <w:spacing w:before="0" w:after="283"/>
              <w:jc w:val="left"/>
              <w:rPr/>
            </w:pPr>
            <w:r>
              <w:rPr/>
              <w:t>10_Test Plan, Sections 3.3–3.5</w:t>
            </w:r>
          </w:p>
        </w:tc>
      </w:tr>
      <w:tr>
        <w:trPr/>
        <w:tc>
          <w:tcPr>
            <w:tcW w:w="1233" w:type="dxa"/>
            <w:tcBorders/>
            <w:vAlign w:val="center"/>
          </w:tcPr>
          <w:p>
            <w:pPr>
              <w:pStyle w:val="TableContents"/>
              <w:bidi w:val="0"/>
              <w:spacing w:before="0" w:after="283"/>
              <w:jc w:val="left"/>
              <w:rPr/>
            </w:pPr>
            <w:r>
              <w:rPr/>
              <w:t>Sprint 8</w:t>
            </w:r>
          </w:p>
        </w:tc>
        <w:tc>
          <w:tcPr>
            <w:tcW w:w="1328" w:type="dxa"/>
            <w:tcBorders/>
            <w:vAlign w:val="center"/>
          </w:tcPr>
          <w:p>
            <w:pPr>
              <w:pStyle w:val="TableContents"/>
              <w:bidi w:val="0"/>
              <w:spacing w:before="0" w:after="283"/>
              <w:jc w:val="left"/>
              <w:rPr/>
            </w:pPr>
            <w:r>
              <w:rPr/>
              <w:t>Weeks 17–18</w:t>
            </w:r>
          </w:p>
        </w:tc>
        <w:tc>
          <w:tcPr>
            <w:tcW w:w="4802" w:type="dxa"/>
            <w:tcBorders/>
            <w:vAlign w:val="center"/>
          </w:tcPr>
          <w:p>
            <w:pPr>
              <w:pStyle w:val="TableContents"/>
              <w:bidi w:val="0"/>
              <w:spacing w:before="0" w:after="283"/>
              <w:jc w:val="left"/>
              <w:rPr/>
            </w:pPr>
            <w:r>
              <w:rPr/>
              <w:t>Performance testing, Alpha testing, UAT begins</w:t>
            </w:r>
          </w:p>
        </w:tc>
        <w:tc>
          <w:tcPr>
            <w:tcW w:w="3976" w:type="dxa"/>
            <w:tcBorders/>
            <w:vAlign w:val="center"/>
          </w:tcPr>
          <w:p>
            <w:pPr>
              <w:pStyle w:val="TableContents"/>
              <w:bidi w:val="0"/>
              <w:spacing w:before="0" w:after="283"/>
              <w:jc w:val="left"/>
              <w:rPr/>
            </w:pPr>
            <w:r>
              <w:rPr/>
              <w:t>10_Test Plan Section 3.6; 13_Alpha Test Plan; 12_UAT Plan</w:t>
            </w:r>
          </w:p>
        </w:tc>
      </w:tr>
      <w:tr>
        <w:trPr/>
        <w:tc>
          <w:tcPr>
            <w:tcW w:w="1233" w:type="dxa"/>
            <w:tcBorders/>
            <w:vAlign w:val="center"/>
          </w:tcPr>
          <w:p>
            <w:pPr>
              <w:pStyle w:val="TableContents"/>
              <w:bidi w:val="0"/>
              <w:spacing w:before="0" w:after="283"/>
              <w:jc w:val="left"/>
              <w:rPr/>
            </w:pPr>
            <w:r>
              <w:rPr/>
              <w:t>Post-Sprint 8</w:t>
            </w:r>
          </w:p>
        </w:tc>
        <w:tc>
          <w:tcPr>
            <w:tcW w:w="1328" w:type="dxa"/>
            <w:tcBorders/>
            <w:vAlign w:val="center"/>
          </w:tcPr>
          <w:p>
            <w:pPr>
              <w:pStyle w:val="TableContents"/>
              <w:bidi w:val="0"/>
              <w:spacing w:before="0" w:after="283"/>
              <w:jc w:val="left"/>
              <w:rPr/>
            </w:pPr>
            <w:r>
              <w:rPr/>
              <w:t>Weeks 19+</w:t>
            </w:r>
          </w:p>
        </w:tc>
        <w:tc>
          <w:tcPr>
            <w:tcW w:w="4802" w:type="dxa"/>
            <w:tcBorders/>
            <w:vAlign w:val="center"/>
          </w:tcPr>
          <w:p>
            <w:pPr>
              <w:pStyle w:val="TableContents"/>
              <w:bidi w:val="0"/>
              <w:spacing w:before="0" w:after="283"/>
              <w:jc w:val="left"/>
              <w:rPr/>
            </w:pPr>
            <w:r>
              <w:rPr/>
              <w:t>UAT completion and sign-off; go-live rollout (pilot subsidiary onward)</w:t>
            </w:r>
          </w:p>
        </w:tc>
        <w:tc>
          <w:tcPr>
            <w:tcW w:w="3976" w:type="dxa"/>
            <w:tcBorders/>
            <w:vAlign w:val="center"/>
          </w:tcPr>
          <w:p>
            <w:pPr>
              <w:pStyle w:val="TableContents"/>
              <w:bidi w:val="0"/>
              <w:spacing w:before="0" w:after="283"/>
              <w:jc w:val="left"/>
              <w:rPr/>
            </w:pPr>
            <w:r>
              <w:rPr/>
              <w:t>11_Deployment Plan, Section 8</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This is 18+ weeks, not the "two to four months" originally estimated.</w:t>
      </w:r>
      <w:r>
        <w:rPr>
          <w:sz w:val="21"/>
          <w:bdr w:val="single" w:sz="24" w:space="9" w:color="D98C00"/>
          <w:shd w:fill="FFF4E5" w:val="clear"/>
        </w:rPr>
        <w:t xml:space="preserve"> 03_Feasibility Study, Section 6 already cautioned that its original schedule estimate assumed the simpler monolith design and needed re-confirmation for microservices; this plan is that re-confirmation. The Board should treat ~4.5 months of active development plus testing/UAT/rollout as the current planning basis, not the earlier figure.</w:t>
      </w:r>
    </w:p>
    <w:p>
      <w:pPr>
        <w:pStyle w:val="Heading2"/>
        <w:bidi w:val="0"/>
        <w:jc w:val="left"/>
        <w:rPr/>
      </w:pPr>
      <w:r>
        <w:rPr/>
        <w:t>7. Indicative Sequencing — Phases 2–5</w:t>
      </w:r>
    </w:p>
    <w:p>
      <w:pPr>
        <w:pStyle w:val="BodyText"/>
        <w:bidi w:val="0"/>
        <w:jc w:val="left"/>
        <w:rPr/>
      </w:pPr>
      <w:r>
        <w:rPr/>
        <w:t>Not yet scheduled in detail; shown here only to indicate dependency order for future planning, per 01_Project Proposal, Section 5. Each phase requires its own Feasibility Study-equivalent check, SRS, and Development Plan update when proposed.</w:t>
      </w:r>
    </w:p>
    <w:tbl>
      <w:tblPr>
        <w:tblW w:w="11339" w:type="dxa"/>
        <w:jc w:val="left"/>
        <w:tblInd w:w="28" w:type="dxa"/>
        <w:tblLayout w:type="fixed"/>
        <w:tblCellMar>
          <w:top w:w="28" w:type="dxa"/>
          <w:left w:w="28" w:type="dxa"/>
          <w:bottom w:w="28" w:type="dxa"/>
          <w:right w:w="28" w:type="dxa"/>
        </w:tblCellMar>
      </w:tblPr>
      <w:tblGrid>
        <w:gridCol w:w="2096"/>
        <w:gridCol w:w="4094"/>
        <w:gridCol w:w="5149"/>
      </w:tblGrid>
      <w:tr>
        <w:trPr/>
        <w:tc>
          <w:tcPr>
            <w:tcW w:w="2096" w:type="dxa"/>
            <w:tcBorders/>
            <w:vAlign w:val="center"/>
          </w:tcPr>
          <w:p>
            <w:pPr>
              <w:pStyle w:val="TableHeading"/>
              <w:suppressLineNumbers/>
              <w:shd w:fill="1F3864" w:val="clear"/>
              <w:bidi w:val="0"/>
              <w:spacing w:before="0" w:after="283"/>
              <w:jc w:val="left"/>
              <w:rPr/>
            </w:pPr>
            <w:r>
              <w:rPr/>
              <w:t>Phase</w:t>
            </w:r>
          </w:p>
        </w:tc>
        <w:tc>
          <w:tcPr>
            <w:tcW w:w="4094" w:type="dxa"/>
            <w:tcBorders/>
            <w:vAlign w:val="center"/>
          </w:tcPr>
          <w:p>
            <w:pPr>
              <w:pStyle w:val="TableHeading"/>
              <w:suppressLineNumbers/>
              <w:shd w:fill="1F3864" w:val="clear"/>
              <w:bidi w:val="0"/>
              <w:spacing w:before="0" w:after="283"/>
              <w:jc w:val="left"/>
              <w:rPr/>
            </w:pPr>
            <w:r>
              <w:rPr/>
              <w:t>Depends On</w:t>
            </w:r>
          </w:p>
        </w:tc>
        <w:tc>
          <w:tcPr>
            <w:tcW w:w="5149" w:type="dxa"/>
            <w:tcBorders/>
            <w:vAlign w:val="center"/>
          </w:tcPr>
          <w:p>
            <w:pPr>
              <w:pStyle w:val="TableHeading"/>
              <w:suppressLineNumbers/>
              <w:shd w:fill="1F3864" w:val="clear"/>
              <w:bidi w:val="0"/>
              <w:spacing w:before="0" w:after="283"/>
              <w:jc w:val="left"/>
              <w:rPr/>
            </w:pPr>
            <w:r>
              <w:rPr/>
              <w:t>Why</w:t>
            </w:r>
          </w:p>
        </w:tc>
      </w:tr>
      <w:tr>
        <w:trPr/>
        <w:tc>
          <w:tcPr>
            <w:tcW w:w="2096" w:type="dxa"/>
            <w:tcBorders/>
            <w:vAlign w:val="center"/>
          </w:tcPr>
          <w:p>
            <w:pPr>
              <w:pStyle w:val="TableContents"/>
              <w:bidi w:val="0"/>
              <w:spacing w:before="0" w:after="283"/>
              <w:jc w:val="left"/>
              <w:rPr/>
            </w:pPr>
            <w:r>
              <w:rPr/>
              <w:t>Phase 2 — Business Operations</w:t>
            </w:r>
          </w:p>
        </w:tc>
        <w:tc>
          <w:tcPr>
            <w:tcW w:w="4094" w:type="dxa"/>
            <w:tcBorders/>
            <w:vAlign w:val="center"/>
          </w:tcPr>
          <w:p>
            <w:pPr>
              <w:pStyle w:val="TableContents"/>
              <w:bidi w:val="0"/>
              <w:spacing w:before="0" w:after="283"/>
              <w:jc w:val="left"/>
              <w:rPr/>
            </w:pPr>
            <w:r>
              <w:rPr/>
              <w:t>Phase 1 complete (Organization, Product, Customer, Supplier services exist)</w:t>
            </w:r>
          </w:p>
        </w:tc>
        <w:tc>
          <w:tcPr>
            <w:tcW w:w="5149" w:type="dxa"/>
            <w:tcBorders/>
            <w:vAlign w:val="center"/>
          </w:tcPr>
          <w:p>
            <w:pPr>
              <w:pStyle w:val="TableContents"/>
              <w:bidi w:val="0"/>
              <w:spacing w:before="0" w:after="283"/>
              <w:jc w:val="left"/>
              <w:rPr/>
            </w:pPr>
            <w:r>
              <w:rPr/>
              <w:t>Sales/Procurement/Inventory build directly on these master-data services</w:t>
            </w:r>
          </w:p>
        </w:tc>
      </w:tr>
      <w:tr>
        <w:trPr/>
        <w:tc>
          <w:tcPr>
            <w:tcW w:w="2096" w:type="dxa"/>
            <w:tcBorders/>
            <w:vAlign w:val="center"/>
          </w:tcPr>
          <w:p>
            <w:pPr>
              <w:pStyle w:val="TableContents"/>
              <w:bidi w:val="0"/>
              <w:spacing w:before="0" w:after="283"/>
              <w:jc w:val="left"/>
              <w:rPr/>
            </w:pPr>
            <w:r>
              <w:rPr/>
              <w:t>Phase 3 — Advanced Finance</w:t>
            </w:r>
          </w:p>
        </w:tc>
        <w:tc>
          <w:tcPr>
            <w:tcW w:w="4094" w:type="dxa"/>
            <w:tcBorders/>
            <w:vAlign w:val="center"/>
          </w:tcPr>
          <w:p>
            <w:pPr>
              <w:pStyle w:val="TableContents"/>
              <w:bidi w:val="0"/>
              <w:spacing w:before="0" w:after="283"/>
              <w:jc w:val="left"/>
              <w:rPr/>
            </w:pPr>
            <w:r>
              <w:rPr/>
              <w:t>Phase 1's Accounting Service; Phase 2's Sales/Procurement (for AR/AP)</w:t>
            </w:r>
          </w:p>
        </w:tc>
        <w:tc>
          <w:tcPr>
            <w:tcW w:w="5149" w:type="dxa"/>
            <w:tcBorders/>
            <w:vAlign w:val="center"/>
          </w:tcPr>
          <w:p>
            <w:pPr>
              <w:pStyle w:val="TableContents"/>
              <w:bidi w:val="0"/>
              <w:spacing w:before="0" w:after="283"/>
              <w:jc w:val="left"/>
              <w:rPr/>
            </w:pPr>
            <w:r>
              <w:rPr/>
              <w:t>Full financial statements and consolidation need transactional data from both</w:t>
            </w:r>
          </w:p>
        </w:tc>
      </w:tr>
      <w:tr>
        <w:trPr/>
        <w:tc>
          <w:tcPr>
            <w:tcW w:w="2096" w:type="dxa"/>
            <w:tcBorders/>
            <w:vAlign w:val="center"/>
          </w:tcPr>
          <w:p>
            <w:pPr>
              <w:pStyle w:val="TableContents"/>
              <w:bidi w:val="0"/>
              <w:spacing w:before="0" w:after="283"/>
              <w:jc w:val="left"/>
              <w:rPr/>
            </w:pPr>
            <w:r>
              <w:rPr/>
              <w:t>Phase 4 — Enterprise Management</w:t>
            </w:r>
          </w:p>
        </w:tc>
        <w:tc>
          <w:tcPr>
            <w:tcW w:w="4094" w:type="dxa"/>
            <w:tcBorders/>
            <w:vAlign w:val="center"/>
          </w:tcPr>
          <w:p>
            <w:pPr>
              <w:pStyle w:val="TableContents"/>
              <w:bidi w:val="0"/>
              <w:spacing w:before="0" w:after="283"/>
              <w:jc w:val="left"/>
              <w:rPr/>
            </w:pPr>
            <w:r>
              <w:rPr/>
              <w:t>Phase 1's Identity Service (roles already extensible); otherwise largely independent of Phases 2–3</w:t>
            </w:r>
          </w:p>
        </w:tc>
        <w:tc>
          <w:tcPr>
            <w:tcW w:w="5149" w:type="dxa"/>
            <w:tcBorders/>
            <w:vAlign w:val="center"/>
          </w:tcPr>
          <w:p>
            <w:pPr>
              <w:pStyle w:val="TableContents"/>
              <w:bidi w:val="0"/>
              <w:spacing w:before="0" w:after="283"/>
              <w:jc w:val="left"/>
              <w:rPr/>
            </w:pPr>
            <w:r>
              <w:rPr/>
              <w:t>Could in principle be resequenced earlier if the Group's priorities change — flagged here as a genuine option, not a fixed order</w:t>
            </w:r>
          </w:p>
        </w:tc>
      </w:tr>
      <w:tr>
        <w:trPr/>
        <w:tc>
          <w:tcPr>
            <w:tcW w:w="2096" w:type="dxa"/>
            <w:tcBorders/>
            <w:vAlign w:val="center"/>
          </w:tcPr>
          <w:p>
            <w:pPr>
              <w:pStyle w:val="TableContents"/>
              <w:bidi w:val="0"/>
              <w:spacing w:before="0" w:after="283"/>
              <w:jc w:val="left"/>
              <w:rPr/>
            </w:pPr>
            <w:r>
              <w:rPr/>
              <w:t>Phase 5 — Integration and Security</w:t>
            </w:r>
          </w:p>
        </w:tc>
        <w:tc>
          <w:tcPr>
            <w:tcW w:w="4094" w:type="dxa"/>
            <w:tcBorders/>
            <w:vAlign w:val="center"/>
          </w:tcPr>
          <w:p>
            <w:pPr>
              <w:pStyle w:val="TableContents"/>
              <w:bidi w:val="0"/>
              <w:spacing w:before="0" w:after="283"/>
              <w:jc w:val="left"/>
              <w:rPr/>
            </w:pPr>
            <w:r>
              <w:rPr/>
              <w:t>Whichever prior phases need bank/payment/mobile integration first</w:t>
            </w:r>
          </w:p>
        </w:tc>
        <w:tc>
          <w:tcPr>
            <w:tcW w:w="5149" w:type="dxa"/>
            <w:tcBorders/>
            <w:vAlign w:val="center"/>
          </w:tcPr>
          <w:p>
            <w:pPr>
              <w:pStyle w:val="TableContents"/>
              <w:bidi w:val="0"/>
              <w:spacing w:before="0" w:after="283"/>
              <w:jc w:val="left"/>
              <w:rPr/>
            </w:pPr>
            <w:r>
              <w:rPr/>
              <w:t>Integration points are phase-specific, not a single block</w:t>
            </w:r>
          </w:p>
        </w:tc>
      </w:tr>
    </w:tbl>
    <w:p>
      <w:pPr>
        <w:pStyle w:val="Heading2"/>
        <w:bidi w:val="0"/>
        <w:jc w:val="left"/>
        <w:rPr/>
      </w:pPr>
      <w:r>
        <w:rPr/>
        <w:t>8. Tracking and Reporting</w:t>
      </w:r>
    </w:p>
    <w:p>
      <w:pPr>
        <w:pStyle w:val="BodyText"/>
        <w:numPr>
          <w:ilvl w:val="0"/>
          <w:numId w:val="1"/>
        </w:numPr>
        <w:tabs>
          <w:tab w:val="clear" w:pos="1134"/>
          <w:tab w:val="left" w:pos="709" w:leader="none"/>
        </w:tabs>
        <w:bidi w:val="0"/>
        <w:spacing w:before="0" w:after="0"/>
        <w:ind w:hanging="283" w:left="709"/>
        <w:jc w:val="left"/>
        <w:rPr/>
      </w:pPr>
      <w:r>
        <w:rPr/>
        <w:t xml:space="preserve">Sprint progress tracked against 06_User Stories' backlog (story status: not started / in progress / in review / done). </w:t>
      </w:r>
    </w:p>
    <w:p>
      <w:pPr>
        <w:pStyle w:val="BodyText"/>
        <w:numPr>
          <w:ilvl w:val="0"/>
          <w:numId w:val="1"/>
        </w:numPr>
        <w:tabs>
          <w:tab w:val="clear" w:pos="1134"/>
          <w:tab w:val="left" w:pos="709" w:leader="none"/>
        </w:tabs>
        <w:bidi w:val="0"/>
        <w:spacing w:before="0" w:after="0"/>
        <w:ind w:hanging="283" w:left="709"/>
        <w:jc w:val="left"/>
        <w:rPr/>
      </w:pPr>
      <w:r>
        <w:rPr/>
        <w:t xml:space="preserve">A brief sprint summary (stories completed, carried over, and any new Critical/High defects per 10_Test Plan's severity scale) reported to the Director after each sprint review. </w:t>
      </w:r>
    </w:p>
    <w:p>
      <w:pPr>
        <w:pStyle w:val="BodyText"/>
        <w:numPr>
          <w:ilvl w:val="0"/>
          <w:numId w:val="1"/>
        </w:numPr>
        <w:tabs>
          <w:tab w:val="clear" w:pos="1134"/>
          <w:tab w:val="left" w:pos="709" w:leader="none"/>
        </w:tabs>
        <w:bidi w:val="0"/>
        <w:ind w:hanging="283" w:left="709"/>
        <w:jc w:val="left"/>
        <w:rPr/>
      </w:pPr>
      <w:r>
        <w:rPr/>
        <w:t xml:space="preserve">The Board is updated at each phase-gate milestone (Sprint 7/8 testing results; UAT sign-off; go-live stage transitions per 11_Deployment Plan, Section 9) — not only at final go-live. </w:t>
      </w:r>
    </w:p>
    <w:p>
      <w:pPr>
        <w:pStyle w:val="Heading2"/>
        <w:bidi w:val="0"/>
        <w:jc w:val="left"/>
        <w:rPr/>
      </w:pPr>
      <w:r>
        <w:rPr/>
        <w:t>9. Assumptions and Constraints</w:t>
      </w:r>
    </w:p>
    <w:p>
      <w:pPr>
        <w:pStyle w:val="BodyText"/>
        <w:numPr>
          <w:ilvl w:val="0"/>
          <w:numId w:val="2"/>
        </w:numPr>
        <w:tabs>
          <w:tab w:val="clear" w:pos="1134"/>
          <w:tab w:val="left" w:pos="709" w:leader="none"/>
        </w:tabs>
        <w:bidi w:val="0"/>
        <w:spacing w:before="0" w:after="0"/>
        <w:ind w:hanging="283" w:left="709"/>
        <w:jc w:val="left"/>
        <w:rPr/>
      </w:pPr>
      <w:r>
        <w:rPr/>
        <w:t xml:space="preserve">No development team is engaged yet; the schedule in Section 6 is a planning baseline to be confirmed once one is, per 03_Feasibility Study, Section 3.4's condition on demonstrated microservices experience. </w:t>
      </w:r>
    </w:p>
    <w:p>
      <w:pPr>
        <w:pStyle w:val="BodyText"/>
        <w:numPr>
          <w:ilvl w:val="0"/>
          <w:numId w:val="2"/>
        </w:numPr>
        <w:tabs>
          <w:tab w:val="clear" w:pos="1134"/>
          <w:tab w:val="left" w:pos="709" w:leader="none"/>
        </w:tabs>
        <w:bidi w:val="0"/>
        <w:spacing w:before="0" w:after="0"/>
        <w:ind w:hanging="283" w:left="709"/>
        <w:jc w:val="left"/>
        <w:rPr/>
      </w:pPr>
      <w:r>
        <w:rPr/>
        <w:t xml:space="preserve">Sprint length (2 weeks) and team composition (Section 3) are assumptions, not commitments — actual velocity will differ. </w:t>
      </w:r>
    </w:p>
    <w:p>
      <w:pPr>
        <w:pStyle w:val="BodyText"/>
        <w:numPr>
          <w:ilvl w:val="0"/>
          <w:numId w:val="2"/>
        </w:numPr>
        <w:tabs>
          <w:tab w:val="clear" w:pos="1134"/>
          <w:tab w:val="left" w:pos="709" w:leader="none"/>
        </w:tabs>
        <w:bidi w:val="0"/>
        <w:spacing w:before="0" w:after="0"/>
        <w:ind w:hanging="283" w:left="709"/>
        <w:jc w:val="left"/>
        <w:rPr/>
      </w:pPr>
      <w:r>
        <w:rPr/>
        <w:t xml:space="preserve">No calendar start date is set; all scheduling in Section 6 is relative. </w:t>
      </w:r>
    </w:p>
    <w:p>
      <w:pPr>
        <w:pStyle w:val="BodyText"/>
        <w:numPr>
          <w:ilvl w:val="0"/>
          <w:numId w:val="2"/>
        </w:numPr>
        <w:tabs>
          <w:tab w:val="clear" w:pos="1134"/>
          <w:tab w:val="left" w:pos="709" w:leader="none"/>
        </w:tabs>
        <w:bidi w:val="0"/>
        <w:ind w:hanging="283" w:left="709"/>
        <w:jc w:val="left"/>
        <w:rPr/>
      </w:pPr>
      <w:r>
        <w:rPr/>
        <w:t xml:space="preserve">Phase 1 budget is not yet confirmed (01_Project Proposal, Section 9); this plan defines sequencing independent of that figure, consistent with the rest of the document set's approach to unconfirmed costs. </w:t>
      </w:r>
    </w:p>
    <w:p>
      <w:pPr>
        <w:pStyle w:val="Heading2"/>
        <w:bidi w:val="0"/>
        <w:jc w:val="left"/>
        <w:rPr/>
      </w:pPr>
      <w:r>
        <w:rPr/>
        <w:t>10. Risks</w:t>
      </w:r>
    </w:p>
    <w:tbl>
      <w:tblPr>
        <w:tblW w:w="11339" w:type="dxa"/>
        <w:jc w:val="left"/>
        <w:tblInd w:w="28" w:type="dxa"/>
        <w:tblLayout w:type="fixed"/>
        <w:tblCellMar>
          <w:top w:w="28" w:type="dxa"/>
          <w:left w:w="28" w:type="dxa"/>
          <w:bottom w:w="28" w:type="dxa"/>
          <w:right w:w="28" w:type="dxa"/>
        </w:tblCellMar>
      </w:tblPr>
      <w:tblGrid>
        <w:gridCol w:w="5231"/>
        <w:gridCol w:w="6108"/>
      </w:tblGrid>
      <w:tr>
        <w:trPr/>
        <w:tc>
          <w:tcPr>
            <w:tcW w:w="5231" w:type="dxa"/>
            <w:tcBorders/>
            <w:vAlign w:val="center"/>
          </w:tcPr>
          <w:p>
            <w:pPr>
              <w:pStyle w:val="TableHeading"/>
              <w:suppressLineNumbers/>
              <w:shd w:fill="1F3864" w:val="clear"/>
              <w:bidi w:val="0"/>
              <w:spacing w:before="0" w:after="283"/>
              <w:jc w:val="left"/>
              <w:rPr/>
            </w:pPr>
            <w:r>
              <w:rPr/>
              <w:t>Risk</w:t>
            </w:r>
          </w:p>
        </w:tc>
        <w:tc>
          <w:tcPr>
            <w:tcW w:w="6108" w:type="dxa"/>
            <w:tcBorders/>
            <w:vAlign w:val="center"/>
          </w:tcPr>
          <w:p>
            <w:pPr>
              <w:pStyle w:val="TableHeading"/>
              <w:suppressLineNumbers/>
              <w:shd w:fill="1F3864" w:val="clear"/>
              <w:bidi w:val="0"/>
              <w:spacing w:before="0" w:after="283"/>
              <w:jc w:val="left"/>
              <w:rPr/>
            </w:pPr>
            <w:r>
              <w:rPr/>
              <w:t>Mitigation</w:t>
            </w:r>
          </w:p>
        </w:tc>
      </w:tr>
      <w:tr>
        <w:trPr/>
        <w:tc>
          <w:tcPr>
            <w:tcW w:w="5231" w:type="dxa"/>
            <w:tcBorders/>
            <w:vAlign w:val="center"/>
          </w:tcPr>
          <w:p>
            <w:pPr>
              <w:pStyle w:val="TableContents"/>
              <w:bidi w:val="0"/>
              <w:spacing w:before="0" w:after="283"/>
              <w:jc w:val="left"/>
              <w:rPr/>
            </w:pPr>
            <w:r>
              <w:rPr/>
              <w:t>Team size smaller than Section 3's assumption</w:t>
            </w:r>
          </w:p>
        </w:tc>
        <w:tc>
          <w:tcPr>
            <w:tcW w:w="6108" w:type="dxa"/>
            <w:tcBorders/>
            <w:vAlign w:val="center"/>
          </w:tcPr>
          <w:p>
            <w:pPr>
              <w:pStyle w:val="TableContents"/>
              <w:bidi w:val="0"/>
              <w:spacing w:before="0" w:after="283"/>
              <w:jc w:val="left"/>
              <w:rPr/>
            </w:pPr>
            <w:r>
              <w:rPr/>
              <w:t>Sprints 3–5's parallelization (Section 5) does not happen; schedule extends — re-plan once actual team size is known</w:t>
            </w:r>
          </w:p>
        </w:tc>
      </w:tr>
      <w:tr>
        <w:trPr/>
        <w:tc>
          <w:tcPr>
            <w:tcW w:w="5231" w:type="dxa"/>
            <w:tcBorders/>
            <w:vAlign w:val="center"/>
          </w:tcPr>
          <w:p>
            <w:pPr>
              <w:pStyle w:val="TableContents"/>
              <w:bidi w:val="0"/>
              <w:spacing w:before="0" w:after="283"/>
              <w:jc w:val="left"/>
              <w:rPr/>
            </w:pPr>
            <w:r>
              <w:rPr/>
              <w:t>Schedule still treated as the original "two to four months" figure despite Section 6's revision</w:t>
            </w:r>
          </w:p>
        </w:tc>
        <w:tc>
          <w:tcPr>
            <w:tcW w:w="6108" w:type="dxa"/>
            <w:tcBorders/>
            <w:vAlign w:val="center"/>
          </w:tcPr>
          <w:p>
            <w:pPr>
              <w:pStyle w:val="TableContents"/>
              <w:bidi w:val="0"/>
              <w:spacing w:before="0" w:after="283"/>
              <w:jc w:val="left"/>
              <w:rPr/>
            </w:pPr>
            <w:r>
              <w:rPr/>
              <w:t>This plan supersedes that figure explicitly; communicate the ~18-week baseline to the Board directly, not just in this document</w:t>
            </w:r>
          </w:p>
        </w:tc>
      </w:tr>
      <w:tr>
        <w:trPr/>
        <w:tc>
          <w:tcPr>
            <w:tcW w:w="5231" w:type="dxa"/>
            <w:tcBorders/>
            <w:vAlign w:val="center"/>
          </w:tcPr>
          <w:p>
            <w:pPr>
              <w:pStyle w:val="TableContents"/>
              <w:bidi w:val="0"/>
              <w:spacing w:before="0" w:after="283"/>
              <w:jc w:val="left"/>
              <w:rPr/>
            </w:pPr>
            <w:r>
              <w:rPr/>
              <w:t>Sprint 6 (Audit &amp; Reporting Service) starts before Sprints 1–5's services are actually publishing events correctly</w:t>
            </w:r>
          </w:p>
        </w:tc>
        <w:tc>
          <w:tcPr>
            <w:tcW w:w="6108" w:type="dxa"/>
            <w:tcBorders/>
            <w:vAlign w:val="center"/>
          </w:tcPr>
          <w:p>
            <w:pPr>
              <w:pStyle w:val="TableContents"/>
              <w:bidi w:val="0"/>
              <w:spacing w:before="0" w:after="283"/>
              <w:jc w:val="left"/>
              <w:rPr/>
            </w:pPr>
            <w:r>
              <w:rPr/>
              <w:t>Enforce the dependency order in Section 5 — Sprint 6 has nothing to consume until the others exist</w:t>
            </w:r>
          </w:p>
        </w:tc>
      </w:tr>
      <w:tr>
        <w:trPr/>
        <w:tc>
          <w:tcPr>
            <w:tcW w:w="5231" w:type="dxa"/>
            <w:tcBorders/>
            <w:vAlign w:val="center"/>
          </w:tcPr>
          <w:p>
            <w:pPr>
              <w:pStyle w:val="TableContents"/>
              <w:bidi w:val="0"/>
              <w:spacing w:before="0" w:after="283"/>
              <w:jc w:val="left"/>
              <w:rPr/>
            </w:pPr>
            <w:r>
              <w:rPr/>
              <w:t>Phase 2+ work begins informally before Phase 1 is signed off, blurring the phase-gate funding model</w:t>
            </w:r>
          </w:p>
        </w:tc>
        <w:tc>
          <w:tcPr>
            <w:tcW w:w="6108" w:type="dxa"/>
            <w:tcBorders/>
            <w:vAlign w:val="center"/>
          </w:tcPr>
          <w:p>
            <w:pPr>
              <w:pStyle w:val="TableContents"/>
              <w:bidi w:val="0"/>
              <w:spacing w:before="0" w:after="283"/>
              <w:jc w:val="left"/>
              <w:rPr/>
            </w:pPr>
            <w:r>
              <w:rPr/>
              <w:t>Section 2's explicit phase-approval boundary, consistent with 01_Project Proposal's phased funding approach</w:t>
            </w:r>
          </w:p>
        </w:tc>
      </w:tr>
    </w:tbl>
    <w:p>
      <w:pPr>
        <w:pStyle w:val="Heading2"/>
        <w:bidi w:val="0"/>
        <w:jc w:val="left"/>
        <w:rPr/>
      </w:pPr>
      <w:r>
        <w:rPr/>
        <w:t>11. Approval</w:t>
      </w:r>
    </w:p>
    <w:p>
      <w:pPr>
        <w:pStyle w:val="BodyText"/>
        <w:bidi w:val="0"/>
        <w:jc w:val="left"/>
        <w:rPr/>
      </w:pPr>
      <w:r>
        <w:rPr/>
        <w:t>Submitted for Board approval as the Phase 1 implementation schedule, and for the engaged development team's confirmation once selected.</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(Section 25, item 9); 01_Project Proposal (Section 5 phased scope); 06_User Stories, Epics and Product Backlog (Section 3 sprint sequence); 07_System Design Document (v2.0 — service dependencies); 03_Feasibility Study (Section 6 schedule caution, now superseded by Section 6 of this plan); 10_Test Plan; 11_Deployment Plan; 12_UAT Plan; 13_Alpha Test Plan. </w:t>
      </w:r>
    </w:p>
    <w:p>
      <w:pPr>
        <w:pStyle w:val="Heading1"/>
      </w:pPr>
      <w:r>
        <w:t>12. Implementation Status Update (18 August 2026)</w:t>
      </w:r>
    </w:p>
    <w:p>
      <w:r>
        <w:t>Section 6's sprint table: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Sprint</w:t>
            </w:r>
          </w:p>
        </w:tc>
        <w:tc>
          <w:tcPr>
            <w:tcW w:type="dxa" w:w="3402"/>
          </w:tcPr>
          <w:p>
            <w:r>
              <w:rPr>
                <w:b/>
              </w:rPr>
              <w:t>Focus</w:t>
            </w:r>
          </w:p>
        </w:tc>
        <w:tc>
          <w:tcPr>
            <w:tcW w:type="dxa" w:w="3402"/>
          </w:tcPr>
          <w:p>
            <w:r>
              <w:rPr>
                <w:b/>
              </w:rPr>
              <w:t>Status</w:t>
            </w:r>
          </w:p>
        </w:tc>
      </w:tr>
      <w:tr>
        <w:tc>
          <w:tcPr>
            <w:tcW w:type="dxa" w:w="3402"/>
          </w:tcPr>
          <w:p>
            <w:r>
              <w:t>Sprint 0</w:t>
            </w:r>
          </w:p>
        </w:tc>
        <w:tc>
          <w:tcPr>
            <w:tcW w:type="dxa" w:w="3402"/>
          </w:tcPr>
          <w:p>
            <w:r>
              <w:t>Platform setup (API Gateway, Kafka, CI/CD, observability)</w:t>
            </w:r>
          </w:p>
        </w:tc>
        <w:tc>
          <w:tcPr>
            <w:tcW w:type="dxa" w:w="3402"/>
          </w:tcPr>
          <w:p>
            <w:r>
              <w:t>Not done</w:t>
            </w:r>
          </w:p>
        </w:tc>
      </w:tr>
      <w:tr>
        <w:tc>
          <w:tcPr>
            <w:tcW w:type="dxa" w:w="3402"/>
          </w:tcPr>
          <w:p>
            <w:r>
              <w:t>Sprint 1</w:t>
            </w:r>
          </w:p>
        </w:tc>
        <w:tc>
          <w:tcPr>
            <w:tcW w:type="dxa" w:w="3402"/>
          </w:tcPr>
          <w:p>
            <w:r>
              <w:t>Identity Service: Authentication, Roles &amp; Permissions</w:t>
            </w:r>
          </w:p>
        </w:tc>
        <w:tc>
          <w:tcPr>
            <w:tcW w:type="dxa" w:w="3402"/>
          </w:tcPr>
          <w:p>
            <w:r>
              <w:t>Done, with gaps — see 06_User Stories status table; built as a module of a single application, not an independent service (see architecture note below)</w:t>
            </w:r>
          </w:p>
        </w:tc>
      </w:tr>
      <w:tr>
        <w:tc>
          <w:tcPr>
            <w:tcW w:type="dxa" w:w="3402"/>
          </w:tcPr>
          <w:p>
            <w:r>
              <w:t>Sprint 2</w:t>
            </w:r>
          </w:p>
        </w:tc>
        <w:tc>
          <w:tcPr>
            <w:tcW w:type="dxa" w:w="3402"/>
          </w:tcPr>
          <w:p>
            <w:r>
              <w:t>Organization Service: Company, Branch &amp; Department Structure</w:t>
            </w:r>
          </w:p>
        </w:tc>
        <w:tc>
          <w:tcPr>
            <w:tcW w:type="dxa" w:w="3402"/>
          </w:tcPr>
          <w:p>
            <w:r>
              <w:t>Done, with gaps — see 06_User Stories status table; same architecture caveat</w:t>
            </w:r>
          </w:p>
        </w:tc>
      </w:tr>
      <w:tr>
        <w:tc>
          <w:tcPr>
            <w:tcW w:type="dxa" w:w="3402"/>
          </w:tcPr>
          <w:p>
            <w:r>
              <w:t>Sprint 3</w:t>
            </w:r>
          </w:p>
        </w:tc>
        <w:tc>
          <w:tcPr>
            <w:tcW w:type="dxa" w:w="3402"/>
          </w:tcPr>
          <w:p>
            <w:r>
              <w:t>Employee Service</w:t>
            </w:r>
          </w:p>
        </w:tc>
        <w:tc>
          <w:tcPr>
            <w:tcW w:type="dxa" w:w="3402"/>
          </w:tcPr>
          <w:p>
            <w:r>
              <w:t>Not started</w:t>
            </w:r>
          </w:p>
        </w:tc>
      </w:tr>
      <w:tr>
        <w:tc>
          <w:tcPr>
            <w:tcW w:type="dxa" w:w="3402"/>
          </w:tcPr>
          <w:p>
            <w:r>
              <w:t>Sprint 4</w:t>
            </w:r>
          </w:p>
        </w:tc>
        <w:tc>
          <w:tcPr>
            <w:tcW w:type="dxa" w:w="3402"/>
          </w:tcPr>
          <w:p>
            <w:r>
              <w:t>Customer &amp; Supplier Services</w:t>
            </w:r>
          </w:p>
        </w:tc>
        <w:tc>
          <w:tcPr>
            <w:tcW w:type="dxa" w:w="3402"/>
          </w:tcPr>
          <w:p>
            <w:r>
              <w:t>Not started</w:t>
            </w:r>
          </w:p>
        </w:tc>
      </w:tr>
      <w:tr>
        <w:tc>
          <w:tcPr>
            <w:tcW w:type="dxa" w:w="3402"/>
          </w:tcPr>
          <w:p>
            <w:r>
              <w:t>Sprint 5</w:t>
            </w:r>
          </w:p>
        </w:tc>
        <w:tc>
          <w:tcPr>
            <w:tcW w:type="dxa" w:w="3402"/>
          </w:tcPr>
          <w:p>
            <w:r>
              <w:t>Product Service &amp; Accounting Service setup</w:t>
            </w:r>
          </w:p>
        </w:tc>
        <w:tc>
          <w:tcPr>
            <w:tcW w:type="dxa" w:w="3402"/>
          </w:tcPr>
          <w:p>
            <w:r>
              <w:t>Not started</w:t>
            </w:r>
          </w:p>
        </w:tc>
      </w:tr>
      <w:tr>
        <w:tc>
          <w:tcPr>
            <w:tcW w:type="dxa" w:w="3402"/>
          </w:tcPr>
          <w:p>
            <w:r>
              <w:t>Sprint 6</w:t>
            </w:r>
          </w:p>
        </w:tc>
        <w:tc>
          <w:tcPr>
            <w:tcW w:type="dxa" w:w="3402"/>
          </w:tcPr>
          <w:p>
            <w:r>
              <w:t>Accounting completion, Dashboard, Audit Trail</w:t>
            </w:r>
          </w:p>
        </w:tc>
        <w:tc>
          <w:tcPr>
            <w:tcW w:type="dxa" w:w="3402"/>
          </w:tcPr>
          <w:p>
            <w:r>
              <w:t>Not started</w:t>
            </w:r>
          </w:p>
        </w:tc>
      </w:tr>
      <w:tr>
        <w:tc>
          <w:tcPr>
            <w:tcW w:type="dxa" w:w="3402"/>
          </w:tcPr>
          <w:p>
            <w:r>
              <w:t>Sprint 7</w:t>
            </w:r>
          </w:p>
        </w:tc>
        <w:tc>
          <w:tcPr>
            <w:tcW w:type="dxa" w:w="3402"/>
          </w:tcPr>
          <w:p>
            <w:r>
              <w:t>Contract, system and security testing</w:t>
            </w:r>
          </w:p>
        </w:tc>
        <w:tc>
          <w:tcPr>
            <w:tcW w:type="dxa" w:w="3402"/>
          </w:tcPr>
          <w:p>
            <w:r>
              <w:t>Not started</w:t>
            </w:r>
          </w:p>
        </w:tc>
      </w:tr>
      <w:tr>
        <w:tc>
          <w:tcPr>
            <w:tcW w:type="dxa" w:w="3402"/>
          </w:tcPr>
          <w:p>
            <w:r>
              <w:t>Sprint 8</w:t>
            </w:r>
          </w:p>
        </w:tc>
        <w:tc>
          <w:tcPr>
            <w:tcW w:type="dxa" w:w="3402"/>
          </w:tcPr>
          <w:p>
            <w:r>
              <w:t>Performance testing, Alpha testing, UAT begins</w:t>
            </w:r>
          </w:p>
        </w:tc>
        <w:tc>
          <w:tcPr>
            <w:tcW w:type="dxa" w:w="3402"/>
          </w:tcPr>
          <w:p>
            <w:r>
              <w:t>Not started</w:t>
            </w:r>
          </w:p>
        </w:tc>
      </w:tr>
    </w:tbl>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Section 3's team assumption (2–3 backend developers, 1 frontend, 1 DevOps, 1 QA) does not reflect how this was actually built — a single developer/agent working session, which is not a basis for re-estimating Section 6's schedule. Code lives in mbms/, alongside this documentation set (docx/) and the Administrator/Customer mockups (screenshots/). See mbms/README.md for exact run instructions and seeded demo credentials.</w:t>
      </w:r>
    </w:p>
    <w:p>
      <w:pPr>
        <w:pStyle w:val="Heading1"/>
      </w:pPr>
      <w:r>
        <w:t>13. Implementation Status Update 2 (18 August 2026)</w:t>
      </w:r>
    </w:p>
    <w:p>
      <w:r>
        <w:t>Section 5's dependency order named Employee/Customer/Supplier/Product Services as parallelizable Sprints 3–5. Only the Employee piece of that has been built here; Customer, Supplier and Product remain untouched. Section 6's Sprint 5/6 Accounting and Dashboard work is further along than that ordering strictly requires — basic accounting and the dashboard are done while Customer/Supplier/Product (nominally earlier in the sequence) are not — because this proof-of-concept was built by priority (what the user asked to unlock next), not by strictly following Section 5's dependency order. That's a reasonable deviation for a single-developer proof-of-concept but would need the team to re-sequence deliberately, not accidentally, in a real multi-person delivery.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Sprint</w:t>
            </w:r>
          </w:p>
        </w:tc>
        <w:tc>
          <w:tcPr>
            <w:tcW w:type="dxa" w:w="3402"/>
          </w:tcPr>
          <w:p>
            <w:r>
              <w:rPr>
                <w:b/>
              </w:rPr>
              <w:t>Focus</w:t>
            </w:r>
          </w:p>
        </w:tc>
        <w:tc>
          <w:tcPr>
            <w:tcW w:type="dxa" w:w="3402"/>
          </w:tcPr>
          <w:p>
            <w:r>
              <w:rPr>
                <w:b/>
              </w:rPr>
              <w:t>Status (this update)</w:t>
            </w:r>
          </w:p>
        </w:tc>
      </w:tr>
      <w:tr>
        <w:tc>
          <w:tcPr>
            <w:tcW w:type="dxa" w:w="3402"/>
          </w:tcPr>
          <w:p>
            <w:r>
              <w:t>Sprint 3</w:t>
            </w:r>
          </w:p>
        </w:tc>
        <w:tc>
          <w:tcPr>
            <w:tcW w:type="dxa" w:w="3402"/>
          </w:tcPr>
          <w:p>
            <w:r>
              <w:t>Employee Service</w:t>
            </w:r>
          </w:p>
        </w:tc>
        <w:tc>
          <w:tcPr>
            <w:tcW w:type="dxa" w:w="3402"/>
          </w:tcPr>
          <w:p>
            <w:r>
              <w:t>Done, with gaps — see 06_User Stories status table</w:t>
            </w:r>
          </w:p>
        </w:tc>
      </w:tr>
      <w:tr>
        <w:tc>
          <w:tcPr>
            <w:tcW w:type="dxa" w:w="3402"/>
          </w:tcPr>
          <w:p>
            <w:r>
              <w:t>Sprint 4</w:t>
            </w:r>
          </w:p>
        </w:tc>
        <w:tc>
          <w:tcPr>
            <w:tcW w:type="dxa" w:w="3402"/>
          </w:tcPr>
          <w:p>
            <w:r>
              <w:t>Customer &amp; Supplier Services</w:t>
            </w:r>
          </w:p>
        </w:tc>
        <w:tc>
          <w:tcPr>
            <w:tcW w:type="dxa" w:w="3402"/>
          </w:tcPr>
          <w:p>
            <w:r>
              <w:t>Not started</w:t>
            </w:r>
          </w:p>
        </w:tc>
      </w:tr>
      <w:tr>
        <w:tc>
          <w:tcPr>
            <w:tcW w:type="dxa" w:w="3402"/>
          </w:tcPr>
          <w:p>
            <w:r>
              <w:t>Sprint 5</w:t>
            </w:r>
          </w:p>
        </w:tc>
        <w:tc>
          <w:tcPr>
            <w:tcW w:type="dxa" w:w="3402"/>
          </w:tcPr>
          <w:p>
            <w:r>
              <w:t>Product Service &amp; Accounting Service setup</w:t>
            </w:r>
          </w:p>
        </w:tc>
        <w:tc>
          <w:tcPr>
            <w:tcW w:type="dxa" w:w="3402"/>
          </w:tcPr>
          <w:p>
            <w:r>
              <w:t>Accounting done; Product not started</w:t>
            </w:r>
          </w:p>
        </w:tc>
      </w:tr>
      <w:tr>
        <w:tc>
          <w:tcPr>
            <w:tcW w:type="dxa" w:w="3402"/>
          </w:tcPr>
          <w:p>
            <w:r>
              <w:t>Sprint 6</w:t>
            </w:r>
          </w:p>
        </w:tc>
        <w:tc>
          <w:tcPr>
            <w:tcW w:type="dxa" w:w="3402"/>
          </w:tcPr>
          <w:p>
            <w:r>
              <w:t>Accounting completion, Dashboard, Audit Trail</w:t>
            </w:r>
          </w:p>
        </w:tc>
        <w:tc>
          <w:tcPr>
            <w:tcW w:type="dxa" w:w="3402"/>
          </w:tcPr>
          <w:p>
            <w:r>
              <w:t>Accounting and Dashboard done; Audit Trail blocked on Kafka (see architecture note)</w:t>
            </w:r>
          </w:p>
        </w:tc>
      </w:tr>
    </w:tbl>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14. Implementation Status Update 3 (18 August 2026)</w:t>
      </w:r>
    </w:p>
    <w:p>
      <w:r>
        <w:t>Section 5's Sprint 4 (Customer &amp; Supplier Services) is now done, closing the gap flagged in the previous update where Accounting (nominally Sprint 5/6) was built ahead of Customer/Supplier (nominally Sprint 4). Only Sprint 5's Product Service half remains open from the original service dependency order.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Sprint</w:t>
            </w:r>
          </w:p>
        </w:tc>
        <w:tc>
          <w:tcPr>
            <w:tcW w:type="dxa" w:w="3402"/>
          </w:tcPr>
          <w:p>
            <w:r>
              <w:rPr>
                <w:b/>
              </w:rPr>
              <w:t>Focus</w:t>
            </w:r>
          </w:p>
        </w:tc>
        <w:tc>
          <w:tcPr>
            <w:tcW w:type="dxa" w:w="3402"/>
          </w:tcPr>
          <w:p>
            <w:r>
              <w:rPr>
                <w:b/>
              </w:rPr>
              <w:t>Status (this update)</w:t>
            </w:r>
          </w:p>
        </w:tc>
      </w:tr>
      <w:tr>
        <w:tc>
          <w:tcPr>
            <w:tcW w:type="dxa" w:w="3402"/>
          </w:tcPr>
          <w:p>
            <w:r>
              <w:t>Sprint 4</w:t>
            </w:r>
          </w:p>
        </w:tc>
        <w:tc>
          <w:tcPr>
            <w:tcW w:type="dxa" w:w="3402"/>
          </w:tcPr>
          <w:p>
            <w:r>
              <w:t>Customer &amp; Supplier Services</w:t>
            </w:r>
          </w:p>
        </w:tc>
        <w:tc>
          <w:tcPr>
            <w:tcW w:type="dxa" w:w="3402"/>
          </w:tcPr>
          <w:p>
            <w:r>
              <w:t>Done, with gaps — see 06_User Stories status table</w:t>
            </w:r>
          </w:p>
        </w:tc>
      </w:tr>
      <w:tr>
        <w:tc>
          <w:tcPr>
            <w:tcW w:type="dxa" w:w="3402"/>
          </w:tcPr>
          <w:p>
            <w:r>
              <w:t>Sprint 5</w:t>
            </w:r>
          </w:p>
        </w:tc>
        <w:tc>
          <w:tcPr>
            <w:tcW w:type="dxa" w:w="3402"/>
          </w:tcPr>
          <w:p>
            <w:r>
              <w:t>Product Service &amp; Accounting Service setup</w:t>
            </w:r>
          </w:p>
        </w:tc>
        <w:tc>
          <w:tcPr>
            <w:tcW w:type="dxa" w:w="3402"/>
          </w:tcPr>
          <w:p>
            <w:r>
              <w:t>Accounting done; Product not started</w:t>
            </w:r>
          </w:p>
        </w:tc>
      </w:tr>
    </w:tbl>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15. Implementation Status Update 4 (18 August 2026)</w:t>
      </w:r>
    </w:p>
    <w:p>
      <w:r>
        <w:t>Section 5's Sprint 5 (Product Service half) is now done, closing the last gap in the original service dependency order — Employee (Sprint 3), Customer/Supplier (Sprint 4) and Product (Sprint 5) are all complete, and Accounting/Dashboard (nominally Sprint 5/6) were already done from an earlier update. Every sprint in Section 6's table through Sprint 6 is now functionally complete except its Audit Trail component, which depends on infrastructure (Sprint 0's platform work) that was never done. Sprints 7 and 8 (testing, Alpha, UAT) remain entirely unstarted, and this proof-of-concept — built incrementally by a single developer/agent responding to direct requests rather than a planned team executing this sprint table — should not be read as evidence those later sprints are close.</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16. Implementation Status Update 5 (18 August 2026) — Sprint 6 Functionally Complete</w:t>
      </w:r>
    </w:p>
    <w:p>
      <w:r>
        <w:t>Section 6's Sprint 6 ("Accounting completion, Dashboard, Audit Trail") is now fully done — the last open item from the original sprint table. Every sprint from Sprint 1 through Sprint 6 is functionally complete; only Sprint 0 (platform setup: API Gateway, Kafka, CI/CD, observability) was never done, which is precisely why every module above was built as a monolith module rather than the independent service Section 5's dependency order assumed. Sprints 7 and 8 (testing, Alpha, UAT) remain entirely unstarted.</w:t>
      </w:r>
    </w:p>
    <w:p>
      <w:r>
        <w:t>Overall picture across five updates: a single developer/agent, working incrementally in response to direct sequential requests rather than a planned team executing this table, has produced functional code for every Phase 1 module in roughly one working session. This is informative about what's achievable quickly for a monolith-shaped slice of this scope: it is not informative about, and should not be used to re-estimate, Section 6's ~18-week team-based schedule for the approved microservices architecture, which remains a substantially different undertaking (Sprint 0 alone, un-estimated in this table, is likely comparable in effort to everything built across all five updates combined).</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17. Implementation Status Update 6 (18 August 2026) — Sprint 1 Revisited</w:t>
      </w:r>
    </w:p>
    <w:p>
      <w:r>
        <w:t>Section 6's Sprint 1 ("Authentication, Users, Roles, Permissions") was the first sprint built and, until this update, had not been revisited since. This update returned to it specifically and checked it against 04_SRS's requirement text rather than assuming the original implementation had captured every clause correctly. 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w:t>
      </w:r>
    </w:p>
    <w:p>
      <w:r>
        <w:t>This is worth recording as a process point for this plan's own future sprints, not just a Sprint 1 note: nothing else in Sprints 2 through 6 has had this same kind of close, requirement-text-level re-check performed on it yet — each of those was verified against its own acceptance criteria and curl/Playwright checks at build time (see updates 1 through 5), but not specifically re-audited clause-by-clause against 04_SRS after the fact the way Sprint 1 was this update. See mbms/README.md, "Sprint 1 verification pass", for the full detail and verification method.</w:t>
      </w:r>
    </w:p>
    <w:p>
      <w:pPr>
        <w:pStyle w:val="Heading1"/>
      </w:pPr>
      <w:r>
        <w:t>18. Implementation Status Update 7 (18 August 2026) — Sprint 2 Revisited</w:t>
      </w:r>
    </w:p>
    <w:p>
      <w:r>
        <w:t>Following the same process applied to Sprint 1 in the previous update, this update returned to Sprint 2 ("Holding Company, Subsidiaries, Branches and Departments") and checked it against 04_SRS's requirement text rather than assuming the original implementation had captured every clause correctly. 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w:t>
      </w:r>
    </w:p>
    <w:p>
      <w:r>
        <w:t>Sprints 1 and 2 have now both had this close, requirement-text-level re-check performed on them; Sprints 3 through 6 (Employees, Customers/Suppliers/Products, Accounting/Dashboard, Audit Trail) have not yet. See mbms/README.md, "Sprint 2 verification pass", for the full detail and verification method.</w:t>
      </w:r>
    </w:p>
    <w:p>
      <w:pPr>
        <w:pStyle w:val="Heading1"/>
      </w:pPr>
      <w:r>
        <w:t>19. Implementation Status Update 8 (18 August 2026) — Sprint 3 Revisited</w:t>
      </w:r>
    </w:p>
    <w:p>
      <w:r>
        <w:t>Following the same process applied to Sprints 1 and 2, this update returned to Sprint 3 (Employees and HR) and checked it against 04_SRS's requirement text. 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w:t>
      </w:r>
    </w:p>
    <w:p>
      <w:r>
        <w:t>Sprints 1, 2 and 3 have now all had this close, requirement-text-level re-check performed on them; Sprints 4 through 6 (Customers/Suppliers/Products, Accounting/Dashboard, Audit Trail) have not yet. See mbms/README.md, "Sprint 3 verification pass", for the full detail and verification method.</w:t>
      </w:r>
    </w:p>
    <w:p>
      <w:pPr>
        <w:pStyle w:val="Heading1"/>
      </w:pPr>
      <w:r>
        <w:t>20. Implementation Status Update 9 (18 August 2026) — Sprint 4 Revisited</w:t>
      </w:r>
    </w:p>
    <w:p>
      <w:r>
        <w:t>Following the same process applied to Sprints 1-3, this update returned to Sprint 4 (Customers and Suppliers) and checked it against 04_SRS's requirement text. 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w:t>
      </w:r>
    </w:p>
    <w:p>
      <w:r>
        <w:t>Sprints 1 through 4 have now all had this close, requirement-text-level re-check performed on them; Sprints 5 and 6 (Products/Accounting/Dashboard, Audit Trail) have not yet. See mbms/README.md, "Sprint 4 verification pass", for the full detail and verification method.</w:t>
      </w:r>
    </w:p>
    <w:p>
      <w:pPr>
        <w:pStyle w:val="Heading1"/>
      </w:pPr>
      <w:r>
        <w:t>21. Implementation Status Update 10 (18 August 2026) — Sprint 5 Revisited</w:t>
      </w:r>
    </w:p>
    <w:p>
      <w:r>
        <w:t>Following the same process applied to Sprints 1-4, this update returned to Sprint 5 (Products and Categories) and checked it against 04_SRS's requirement text. 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w:t>
      </w:r>
    </w:p>
    <w:p>
      <w:r>
        <w:t>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Sprints 1 through 5 have now all had this close, requirement-text-level re-check performed on them; Sprint 6 (Accounting/Dashboard/Audit Trail) has not yet. See mbms/README.md, "Sprint 5 verification pass", for the full detail and verification method.</w:t>
      </w:r>
    </w:p>
    <w:p>
      <w:pPr>
        <w:pStyle w:val="Heading1"/>
      </w:pPr>
      <w:r>
        <w:t>22. Implementation Status Update 11 (18 August 2026) — Sprint 6 Revisited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Following the same process applied to Sprints 1-5, this update returned to the actual Sprint 6 ("Accounting completion, Dashboard, Audit Trail") and checked it against 04_SRS's requirement text. Two requirement gaps were found and fixed: FR-ACC-03 only had a trial balance report (an account-level summary), not an actual general ledger (a transaction-level, running-balance view per account) — a new general ledger report was added. FR-DASH-02's chart-of-accounts summary was only reachable via accounting.viewAll, a Group-level-only permission — a subsidiary-scoped Finance Manager could never see it on their own dashboard; now included there for anyone holding either accounting permission for that company. Audit Trail was re-checked with no new gaps found, plus a documented clarification that the 'delete' audit action never fires anywhere, since this system uses status changes instead of hard deletes throughout, by design.</w:t>
      </w:r>
    </w:p>
    <w:p>
      <w:r>
        <w:t>Sprints 1 through 6 have now all had this close, requirement-text-level re-check performed on them — every sprint this plan's own table lists as "Done" or "Done, with gaps" has now been individually re-verified against source requirement text, not just against its own original acceptance criteria.</w:t>
      </w:r>
    </w:p>
    <w:p>
      <w:r>
        <w:t>See mbms/README.md, "Sprint 6 verification pass", for the full detail and verification method.</w:t>
      </w:r>
    </w:p>
    <w:p>
      <w:pPr>
        <w:pStyle w:val="Heading1"/>
      </w:pPr>
      <w:r>
        <w:t>23. Implementation Status Update 12 (18 August 2026) — Sprint 7 Run</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This is the first update in this sequence that ran an actual sprint from this plan's table as defined, rather than re-verifying an already-built feature sprint — Sprint 7 is a testing sprint, and its applicable portion (Section 3.5 Security Testing) was run in full this update, with its inapplicable portions (3.3/3.4, both Kafka-dependent) explicitly recorded as such rather than silently skipped.</w:t>
      </w:r>
    </w:p>
    <w:p>
      <w:r>
        <w:t>10_Test Plan Sections 3.3 (Contract Testing) and 3.4 (System/E2E Testing) are written against the approved Kafka/microservices architecture and don't apply as literally specified to this monolith — the same architecture gap noted throughout this document set; their spirit is what every sprint's curl/Playwright verification has already been doing since Sprint 1. Section 3.5 (Security Testing) does apply regardless of architecture and was run in full: SEC-01 (server-side RBAC), SEC-02 (SQL injection/XSS), SEC-05 (rate limiting) and SEC-06 (admin actions audited) were all confirmed working live, with one polish fix (a leaking internal exception message on rate-limited responses, now cleaned up). SEC-03 (CSRF) is structurally not applicable — Bearer-token auth, no cookies. SEC-04 (file upload validation) is not applicable — no file upload exists anywhere in this system. SEC-07 (2FA, Could priority) remains not implemented. NFR-08 (TLS) is a deployment concern, out of scope locally; NFR-09 (password hashing) was confirmed — bcrypt, cost factor 12, everywhere. See mbms/README.md, "Sprint 7: security testing pass", for the full detail and verification method.</w:t>
      </w:r>
    </w:p>
    <w:p>
      <w:pPr>
        <w:pStyle w:val="Heading1"/>
      </w:pPr>
      <w:r>
        <w:t>24. Implementation Status Update 13 (18 August 2026) — Sprint 8 Run, Critical Bug Fixed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This update ran Sprint 8 as actually defined: performance testing (Section 3.6, informative-only pending a Group-confirmed target load), Alpha testing (13_Alpha Test Plan Sections 5.1, 5.2 and 5.4 — 5.3's operational drills remain not applicable, no infrastructure to drill against), and a full UAT-01 through UAT-06 walkthrough.</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w:t>
      </w:r>
    </w:p>
    <w:p>
      <w:r>
        <w:t>Every sprint in this plan's table (1 through 8) has now been either built and verified or, for the two testing-only sprints (7 and 8), actually run against the system. Only Sprint 0 (platform setup: API Gateway, Kafka, CI/CD, observability) remains entirely undone, and it is prerequisite infrastructure this monolith proof-of-concept deliberately never built. See mbms/README.md, "Sprint 8: performance, Alpha and UAT pass", for the full detail and verification method.</w:t>
      </w:r>
    </w:p>
    <w:p>
      <w:pPr>
        <w:pStyle w:val="Heading1"/>
      </w:pPr>
      <w:r>
        <w:t>25. Implementation Status Update 14 (18 August 2026) — Sprint 9: Expense Management (Phase 2)</w:t>
      </w:r>
    </w:p>
    <w:p>
      <w:r>
        <w:t>Scope note, different in kind from every scope note since Update 11 (Sprint 6): the request that opened this sprint named "Expenses" — the same Phase 2 module every earlier mismatch (Sprints 6, 7, 8) would have redirected away from, back to whatever this plan's Section 6 table still had open. This time there was nothing left to redirect to: Update 13 already closed out Sprint 8, and Section 6's table only defines Sprints 0 through 8 — Sprint 0 (platform infrastructure) is the only one never done, and it is prerequisite infrastructure this monolith proof-of-concept deliberately never built, not a feature sprint a request could match. "Expenses" is the first module this plan's own Section 7 ("Indicative Sequencing — Phases 2–5") names as next up once Phase 1 closes. So, for the first time since Sprint 5, the named request was run as asked, not substituted.</w:t>
      </w:r>
    </w:p>
    <w:p>
      <w:r>
        <w:t>This is also the first sprint in this plan's own numbering that falls outside Section 6's authorized Phase 1 scope. Section 2's phase-gated funding approach ("each phase is separately scoped, budgeted and approved before it begins", carried from 01_Project Proposal, Section 5) has not been run for Phase 2 — no Phase 2 Feasibility Study-equivalent check, SRS pass, or Development Plan update preceded this work, the exact prerequisite Section 7's own text says each future phase needs when formally proposed. Built anyway, as a proof-of-concept extension past the authorized boundary, the same class of judgment call already recorded against Sprint 6 onward (building by direct request rather than strict adherence to this plan's own process).</w:t>
      </w:r>
    </w:p>
    <w:p>
      <w:r>
        <w:t>What was built: an Expense Service — one more module of the same single NestJS application every earlier update already describes, not a new independently deployable service (Section 5's dependency-order and microservices language still does not apply here, unchanged since the first update). It implements the claim workflow 05_Business Process Document, Section 6.4 already specified: submit → manager approval → finance approval → pay (which combines the source workflow's separate "Payment/Reimbursement" and "Posted to Accounting" steps into one action, since this proof-of-concept has no separate disbursement system). Paying a finance-approved claim posts a balanced two-line journal entry directly into the existing Accounting module's ledger — the first place in this codebase where one module's write path directly creates rows owned by another module's tables, a tighter coupling than anything else in this monolith, worth flagging the same way 07_System Design Document's identical update does.</w:t>
      </w:r>
    </w:p>
    <w:p>
      <w:r>
        <w:t>Verification performed: a full curl matrix covering the complete workflow end-to-end (submit → manager approve → finance approve → pay, confirming the posted journal entry balances and matches the claim amount exactly), permission gating at every step (a user holding only expense.approve.manager correctly receives FORBIDDEN calling /pay), state-machine guards (paying an already-paid claim correctly returns CONFLICT, not a silent success), BR-01 scope isolation (a user scoped to a different company receives NOT_FOUND both listing and fetching another company's claim by direct ID — checked proactively against Sprint 8's own critical finding, not after the fact), and full audit trail coverage (every submit/approve/reject/pay call produces its expense.claim.* event). A live browser/Playwright pass was not available this session (the browser tool was declined) — verification here is API-level only via curl, an honest gap against the Playwright coverage every earlier sprint's update in this document was able to report.</w:t>
      </w:r>
    </w:p>
    <w:p>
      <w:r>
        <w:t>See mbms/README.md, “Sprint 9”, for the full detail and verification method, and 04_Software Requirements Specification, Section 4.12 (new this sprint) for the FR-EXP-01–05 requirement text this module was built against.</w:t>
      </w:r>
    </w:p>
    <w:p>
      <w:pPr>
        <w:pStyle w:val="Heading1"/>
      </w:pPr>
      <w:r>
        <w:t>26. Implementation Status Update 15 (18 August 2026) — Sprint 10: Full Accounting, and a Correction to How Sprints 6-9 Were Framed</w:t>
      </w:r>
    </w:p>
    <w:p>
      <w:r>
        <w:t>This sprint's request ("Accounting") triggered the same check every sprint since Update 12 (Sprint 7) has run: search the document set for where the requested sprint number is actually named. This time the search found something this plan's own Section 6 table (Sprints 0-8) could never have shown, because it is a different, narrower numbering scheme: Multi_Holdings_Limited_Software_Development_Procedures.docx, Section 12 ("Phase 10 - Recommended Development Order") contains its own literal 14-sprint table - Sprint 1 Authentication through Sprint 14 Dashboard/notifications/audit trail - independent of this plan's Sprint 0-8 schedule. "Accounting" is that table's Sprint 10, exactly as requested.</w:t>
      </w:r>
    </w:p>
    <w:p>
      <w:r>
        <w:t>Checked against that table, every sprint request across this entire project - Sprints 1 through 10 - matches it exactly, including Sprint 6 ("Procurement, purchase orders and goods received"), Sprint 7 ("Sales, invoices and receipts") and Sprint 8 ("Inventory"), each of which Updates 12-14 of this document treated as a mismatch requiring redirection back to this plan's own Section 6 table instead. That redirect logic was correct against this plan specifically - Section 6 genuinely has no Sprint 6/7/8 named "Procurement"/"Sales"/"Inventory" - but incomplete as an account of the wider document set: Multi_Holdings_Limited_Software_Development_Procedures.docx had those exact sprints defined the whole time, under a table this plan's own updates never checked. The work Updates 12 and 13 actually did (security testing, then performance/Alpha/UAT) was this plan's own Sprint 7 and Sprint 8, correctly identified and genuinely useful to have run - nothing about that is being walked back. What's being corrected is the framing: Procurement, Sales and Inventory were never built under any name, not resolved by a reasonable substitution. This is recorded here plainly rather than left implicit, per this plan's own Section 8 ("Tracking and Reporting") commitment to report sprint status, carried over, honestly.</w:t>
      </w:r>
    </w:p>
    <w:p>
      <w:r>
        <w:t>What this changes going forward: a request naming "Sprint N" should be checked against both sprint tables in this document set - this plan's own Section 6 (Phase 1, dependency-ordered, Sprints 0-8) and Multi_Holdings_Limited_Software_Development_Procedures.docx, Section 12 (all phases, Sprints 1-14) - before concluding a mismatch requires a substitute. Recorded as item 10 in mbms/README.md's "Judgment calls" section so it isn't lost to this one update.</w:t>
      </w:r>
    </w:p>
    <w:p>
      <w:r>
        <w:t>What was actually built this sprint, against Multi_Holdings' Sprint 10 ("Accounting"): since this plan's own Section 6 already lists Accounting under Sprints 5-6 (built and revisited once, Update 11), "full Accounting" was read as deepening that existing module along three lines already visible in the source documents - FR-ACC-07 (recurring/adjusting journal entries, "Could priority, not started" since the module was first built), Income Statement and Balance Sheet reports (04_SRS Section 12 lists "financial statements" and "consolidated accounting" under Phase 3, pulled forward the same way Update 14 pulled Expense Management forward from Phase 2), and a consolidated group-rollup of both reports using the Company parent/subsidiary hierarchy from Sprint 2.</w:t>
      </w:r>
    </w:p>
    <w:p>
      <w:r>
        <w:t>Verification performed: generating and posting a recurring entry correctly increments its tracking fields and produces a balanced journal entry; permission gating and BR-01 scope isolation both hold, matching every other module's established checks; Income Statement and Balance Sheet figures were cross-checked against a parallel trial-balance call for the same company/period; and the consolidated variant, queried from Morise Holdings Limited down to two real seeded subsidiaries (Morise Agro Ltd, Morise Logistics Ltd), correctly aggregated both while excluding the pure holding company with a stated reason. One real bug was found and fixed during this pass: the consolidated income-statement endpoint originally required the caller's periodId to belong to the root company, which is impossible for a company with no financial periods of its own - exactly Morise Holdings Limited's actual seed data. A live browser pass was not available this session; verification here is curl-only, the same honest gap Update 14 recorded.</w:t>
      </w:r>
    </w:p>
    <w:p>
      <w:r>
        <w:t>Two environment issues, not code bugs, were hit and resolved this sprint: a `nest start --watch` race between deleteOutDir and the compiled output being required, worked around by compiling once and running `node dist/main.js` directly for the rest of the session; and a local dev database reset (Sprint 9's own interactive curl testing had left extra journal entries colliding with this sprint's seed-script entry numbers) via `docker compose down -v` followed by a fresh `migrate deploy` and `seed.ts` run.</w:t>
      </w:r>
    </w:p>
    <w:p>
      <w:r>
        <w:t>See mbms/README.md, "Sprint 10", for the full detail and verification method, and 04_Software Requirements Specification, Section 4.9 (FR-ACC-08/09, new this sprint) for the requirement text this module was built against.</w:t>
      </w:r>
    </w:p>
    <w:p>
      <w:pPr>
        <w:pStyle w:val="Heading1"/>
      </w:pPr>
      <w:r>
        <w:t>27. Implementation Status Update 16 (18 August 2026) — Sprint 11: Asset Management</w:t>
      </w:r>
    </w:p>
    <w:p>
      <w:r>
        <w:t>This sprint's request ("Assets") matches Multi_Holdings_Limited_Software_Development_Procedures.docx, Section 12's own Sprint 11 directly - the same table discovered at Sprint 10 (Update 15) to be the one every sprint request since Sprint 1 has actually matched. No redirect was needed, the same as Sprint 10.</w:t>
      </w:r>
    </w:p>
    <w:p>
      <w:r>
        <w:t>What was built: an Asset Service (Section 4.13 of 04_Software Requirements Specification, new this sprint) implementing registration, transfer, straight-line depreciation posting, a three-step disposal workflow (request -&gt; management approval/inspection -&gt; execute, posting a full derecognition entry), and maintenance logging, against the workflow 05_Business Process Document Section 6.5 and morise.docx Section 15 already specified. One more module of the same single NestJS application every earlier update describes - not a new independently deployable service.</w:t>
      </w:r>
    </w:p>
    <w:p>
      <w:r>
        <w:t>Verification performed: a curl matrix covering permission gating (asset.manage vs asset.approve.disposal, confirming a disposal requester cannot approve their own request), BR-01 scope isolation, the over-depreciation guard, and the full disposal workflow producing a correctly-balanced four-line derecognition entry cross-checked against the asset's own computed net book value. A live browser pass was not available this session; verification here is API-level only via curl, the same honest gap every update since Sprint 9 has recorded.</w:t>
      </w:r>
    </w:p>
    <w:p>
      <w:r>
        <w:t>A real usability finding, not a code bug: dispose() does not validate that the caller's chosen gain/loss account's declared type matches the computed sign - discovered when a test disposal passed a revenue-type account for what was actually a loss, and the entry posted correctly balanced regardless (the API trusts the caller's account choice, the same way manual journal entries already do). Fixed at the UI layer: the Dispose modal now computes and displays the gain/loss live before submission.</w:t>
      </w:r>
    </w:p>
    <w:p>
      <w:r>
        <w:t>See mbms/README.md, "Sprint 11", for the full detail and verification method, and 04_Software Requirements Specification, Section 4.13 (FR-ASSET-01-05, new this sprint) for the requirement text this module was built against.</w:t>
      </w:r>
    </w:p>
    <w:p>
      <w:pPr>
        <w:pStyle w:val="Heading1"/>
      </w:pPr>
      <w:r>
        <w:t>28. Implementation Status Update 17 (18 August 2026) — Sprint 12: Project Management</w:t>
      </w:r>
    </w:p>
    <w:p>
      <w:r>
        <w:t>This sprint's request ("Projects") matches Multi_Holdings_Limited_Software_Development_Procedures.docx, Section 12's own Sprint 12 directly - the same table discovered at Sprint 10 (Update 15) to be the one every sprint request since Sprint 1 has actually matched. No redirect was needed, the same as Sprints 10 and 11.</w:t>
      </w:r>
    </w:p>
    <w:p>
      <w:r>
        <w:t>What was built: a Project Service (Section 4.14 of 04_Software Requirements Specification, new this sprint) implementing registration, team/task management, milestones, a five-step status lifecycle (planned -&gt; active &lt;-&gt; on_hold -&gt; completed -&gt; closed, via explicit named actions rather than a generic status PATCH, matching the auditability convention Expense and Asset already established), and profitability review, against the workflow 05_Business Process Document Section 6.6 and morise.docx Section 17 already specified. "Progress &amp; Expenses Recorded" reuses the existing Expense Service (Sprint 9) via a new optional projectId field, rather than building a second expense concept - the third instance this project of reusing an already-built module (Expenses/Accounting in Sprint 9, Assets/Accounting in Sprint 11, now Projects/Expenses here) instead of duplicating logic.</w:t>
      </w:r>
    </w:p>
    <w:p>
      <w:r>
        <w:t>Verification performed: a curl matrix covering permission gating (project.manage required for every mutation, confirmed refused for a role without it on every attempted action), BR-01 scope isolation, the full five-step status lifecycle walked in order with actualEndDate correctly stamped only on close, milestone-completion idempotency, and the profitability endpoint's figures cross-checked by hand against seeded budget/expense/revenue data and matched exactly (a 97.8% margin on the seeded closed project). Both the backend build and a full frontend production build (50 modules) completed with zero errors. A live browser pass was not available this session; verification here is curl-only, the same honest gap every update since Sprint 9 has recorded.</w:t>
      </w:r>
    </w:p>
    <w:p>
      <w:r>
        <w:t>This closes out every Phase 2 module this plan's own Multi_Holdings sprint table names except Sales (Sprint 6-7 mismatch history), Procurement, Inventory, and Reports (Sprint 13) - Expenses (9), Accounting deepening (10), Assets (11) and now Projects (12) are all built. See mbms/README.md, "Sprint 12", for the full detail and verification method, and 04_Software Requirements Specification, Section 4.14 (FR-PROJ-01-06, new this sprint) for the requirement text this module was built against.</w:t>
      </w:r>
    </w:p>
    <w:p>
      <w:pPr>
        <w:pStyle w:val="Heading1"/>
      </w:pPr>
      <w:r>
        <w:t>29. Implementation Status Update 18 (18 August 2026) — Sprint 13: Reports</w:t>
      </w:r>
    </w:p>
    <w:p>
      <w:r>
        <w:t>This sprint's request ("Reports") matches Multi_Holdings_Limited_Software_Development_Procedures.docx, Section 12's own Sprint 13 directly - no redirect needed, the same as Sprints 10 through 12. Unlike every sprint since Sprint 9, this one is Phase 1 scope, not a Phase 2 pull-forward: 04_Software Requirements Specification, Section 8 (RPT-01-06) has specified this since the document's first version. This is the first sprint since Sprint 6 whose scope was already fully specified before the sprint began.</w:t>
      </w:r>
    </w:p>
    <w:p>
      <w:r>
        <w:t>What was built: a Reports module (GET /api/v1/reports/*) wrapping five existing data sources - companies/branches, employees, customers, suppliers, and the chart of accounts/trial balance - plus the existing audit trail, in a shared CSV/PDF export layer. Every report enforces the exact same permission its underlying data already required elsewhere in this API, checked individually against each source controller's actual @RequirePermission decorator before writing a single report route - a generic "report.view" permission would have been simpler but would have been a real access-control regression, letting a role see through a report export data it can't see through the normal screen.</w:t>
      </w:r>
    </w:p>
    <w:p>
      <w:r>
        <w:t>Verification performed: a curl matrix covering JSON/CSV/PDF output for every report type, permission gating matching each source module exactly, and the accounting report's trial-balance variant cross-checked line-for-line against /accounting/reports/trial-balance itself. The exported PDF was confirmed a genuinely valid PDF document via the file command, not just inferred from a 200 response. A live browser pass was not available this session; verification here is curl-only, the same honest gap every update since Sprint 9 has recorded.</w:t>
      </w:r>
    </w:p>
    <w:p>
      <w:r>
        <w:t>A real pre-existing data bug was found and fixed during this sprint's own verification, not a Reports bug itself: Morise Agro Ltd and Morise Logistics Ltd, both seeded before FR-COMP-03's relationship_type field existed on this seed script, had never been backfilled and carried a silently null value since Sprint 1, surfaced only because the new company/branch report displays that column prominently. Fixed in seed.ts directly (both companies now seed with relationshipType: 'subsidiary'), not worked around in the report's own display logic.</w:t>
      </w:r>
    </w:p>
    <w:p>
      <w:r>
        <w:t>One new runtime dependency was introduced this sprint: pdfkit, for real PDF generation - the first new dependency any sprint in this project has added. This closes RPT-01 through RPT-06; only Procurement (Sprint 6), Sales (Sprint 7), Inventory (Sprint 8) and Dashboard/notifications/audit refinement (Sprint 14) remain unbuilt against Multi_Holdings_Limited_Software_Development_Procedures.docx's own 14-sprint order. See mbms/README.md, "Sprint 13", for the full detail and verification method.</w:t>
      </w:r>
    </w:p>
    <w:p>
      <w:pPr>
        <w:pStyle w:val="Heading1"/>
      </w:pPr>
      <w:r>
        <w:t>30. Implementation Status Update 19 (18 August 2026) — Sprint 14: Dashboard, Notifications and Audit Trail — 14-Sprint Order Closed Except Three</w:t>
      </w:r>
    </w:p>
    <w:p>
      <w:r>
        <w:t>This sprint's request ("Dashboard, notifications and audit trail") matches Multi_Holdings_Limited_Software_Development_Procedures.docx, Section 12's own Sprint 14 directly - the last row in that table, the same table discovered at Sprint 10 (Update 15) to be the one every sprint request since Sprint 1 has actually matched. Unlike every earlier sprint, this one names three things at once: Dashboard and Audit Trail were already built in Phase 1 and re-verified, not rebuilt; Notifications was genuinely unbuilt, deferred since this project's first sprint.</w:t>
      </w:r>
    </w:p>
    <w:p>
      <w:r>
        <w:t>Audit Trail, verified not rebuilt: every mutating action across Expenses (Sprint 9), Assets (Sprint 11) and Projects (Sprint 12) already calls AuditService.record() - checked by grepping every eventType: in all three services' source directly. 20 distinct event types found, every one a real mutation, not a representative subset - better coverage than Phase 1's own "at least one mutation per service" baseline. No gap found; no code changed.</w:t>
      </w:r>
    </w:p>
    <w:p>
      <w:r>
        <w:t>Dashboard, deepened: GET /dashboard/summary gained assets and activeProjects; GET /dashboard/companies/{id} gained assets, projects, myPendingApprovals and unreadNotifications sections, each conditional on the caller holding the relevant permission for that company - the exact FR-DASH-02 pattern Sprint 6 already established, extended to two more modules rather than a new pattern invented.</w:t>
      </w:r>
    </w:p>
    <w:p>
      <w:r>
        <w:t>What was built for Notifications: a Notification model, GET/POST /api/v1/notifications/* (list own, unread count, mark read/read-all, no permission gate beyond being logged in), and NotificationsService.findUsersWithPermissionInCompany() - resolves every active user who holds a given permission and can see a given company, wired into two existing approval-gated workflows (expense approval, asset disposal) as a demonstrated pattern, not exhaustive coverage. Email/push/SMS channels remain deferred - no external delivery infrastructure exists.</w:t>
      </w:r>
    </w:p>
    <w:p>
      <w:r>
        <w:t>A real targeting bug was found and fixed during this sprint's own verification: the first cut of findUsersWithPermissionInCompany() only matched users with an explicit UserScope row for the target company, missing group-visibility-permission holders (Managing Director, who sees every company via asset.viewAll, a permission, not a scope row) entirely. Confirmed directly: a live disposal request produced zero notifications for Managing Director before the fix, one after - the same class of gap Sprint 6 already found and fixed once for Dashboard's FR-DASH-02, found a second time in a different module.</w:t>
      </w:r>
    </w:p>
    <w:p>
      <w:r>
        <w:t>This closes every sprint in Multi_Holdings_Limited_Software_Development_Procedures.docx's own 14-sprint order except three: Procurement (Sprint 6), Sales (Sprint 7) and Inventory (Sprint 8) - the three sprints redirected away from early in this project's history, before this second sprint table was discovered at Sprint 10. Building those three, in that order, closes out every remaining row. See mbms/README.md, "Sprint 14", for the full detail and verification method, and 04_Software Requirements Specification, Section 4.15 (FR-NOTIF-01/02, new this sprint) for the requirement text this module was built against.</w:t>
      </w:r>
    </w:p>
    <w:p>
      <w:pPr>
        <w:pStyle w:val="Heading1"/>
      </w:pPr>
      <w:r>
        <w:t>31. Implementation Status Update 20 (19 August 2026) — Company and Holdings Management Deepening</w:t>
      </w:r>
    </w:p>
    <w:p>
      <w:r>
        <w:t>This update was requested directly against morise.docx, Section 2 (“Company and Holdings Management”)’s full feature list — the first request in this project’s history to name a source document’s section directly rather than a “Sprint N” label from either of this project’s two sprint-numbering schemes (see Update 15 for that discovery). Cross-checked against what Sprint 2 and Sprint 10 already built, sixteen of twenty bullets in that feature list were already done; four were genuinely missing.</w:t>
      </w:r>
    </w:p>
    <w:p>
      <w:r>
        <w:t>What was built: a CompanyPolicy model and GET/POST/PATCH endpoints, mirroring BranchesService exactly. An InterCompanyTransaction model and create-then-post flow, where posting writes two independently-balanced JournalEntry graphs — one per company — inside a single Prisma transaction, connected through caller-chosen “due from”/“due to” clearing accounts, per BR-03. Two new permissions, organization.intercompany.manage/.viewAll, deliberately group-wide only with no scoped variant, since a transaction inherently spans two companies. AssetsService.transfer() gained an optional toCompanyId, requiring destination-company scope in addition to the existing asset.manage check, and clearing GL account links on a cross-company move rather than attempting to remap them (see “Judgment calls,” item 20, in mbms/README.md for why). A new GET /reports/company-comparison endpoint, reusing the existing Reports module’s CSV/PDF/JSON export helper from Sprint 13.</w:t>
      </w:r>
    </w:p>
    <w:p>
      <w:r>
        <w:t>Two real bugs found and fixed during this pass’s own verification, not assumed away: InterCompanyTransactionsService.create() and .post() initially had no isCompanyInScope() check on either company at all — confirmed live, a Finance Manager scoped only to one company was able to post a transaction touching a company she has no explicit scope for, purely via the group-wide viewAll permission (arguably correct by design, but wholly unenforced in code before this fix). While fixing those, .get() was found to have zero permission check whatsoever. Both fixed with explicit isCompanyInScope() checks on both companies, confirmed afterward with a 404 NOT_FOUND for a caller holding neither permission.</w:t>
      </w:r>
    </w:p>
    <w:p>
      <w:r>
        <w:t>A gap noted rather than fixed: no single seeded demo persona holds both asset.manage and group-wide destination-company scope together, so the full cross-company asset-transfer success path can’t be demonstrated end-to-end with current seed data — both individual gates (permission, destination scope) were verified correct in isolation via curl. Adding a tenth demo login was judged out of scope, the same minimal-footprint call already made for “Project Manager” at Sprint 12.</w:t>
      </w:r>
    </w:p>
    <w:p>
      <w:r>
        <w:t>This closes out morise.docx, Section 2’s feature list in full. Of the fourteen-sprint order this project has otherwise been tracking against (Multi_Holdings_Limited_Software_Development_Procedures.docx), only Procurement (Sprint 6), Sales (Sprint 7) and Inventory (Sprint 8) remain unbuilt — unchanged by this pass, since it deepened already-built Sprint 2 scope rather than starting a new sprint. See mbms/README.md, “Company and Holdings Management,” for the full detail and verification method, and 04_Software Requirements Specification, Section 4.2 (FR-COMP-10/11/12, new this pass) for the requirement text this work was built against.</w:t>
      </w:r>
    </w:p>
    <w:p>
      <w:pPr>
        <w:pStyle w:val="Heading1"/>
      </w:pPr>
      <w:r>
        <w:t>32.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33. 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34.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35. Implementation Status Update 24 (19 August 2026) — Sprint 16: Customer Storefront, Then Responsiveness and Landing Page Passes</w:t>
      </w:r>
    </w:p>
    <w:p>
      <w:r>
        <w:t>Per Multi_Holdings_Limited_Software_Development_Procedures.docx's own 14-sprint order (see this document's earlier "Sprint 10" note on that table's discovery), Sales (that table's Sprint 7) was the last of the three sprints (Procurement, Sales, Inventory) still entirely unbuilt after Sprint 15's HR Module Deepening. This request built it — framed as a full "Customer Storefront" (Sales/Invoicing/Payments plus a new Support Ticketing module and a second, customer-facing web application), pulled forward the same way Expenses/Assets/Projects were in earlier sprints, and confirmed with the requester as new scope rather than something already built. Two follow-up requests in the same session — make the storefront responsive, and add a public landing page with a disclaimer — are recorded together with it here rather than as separate sprint numbers, since neither matches a row in either this document's own 0–14 schedule or the 14-sprint order's table.</w:t>
      </w:r>
    </w:p>
    <w:p>
      <w:r>
        <w:t>Built: see mbms/README.md, "Sprint 16: Customer Storefront", "Storefront responsiveness pass" and "Landing page and disclaimer added", for the full detail. Only Procurement and Inventory now remain unbuilt from the 14-sprint order's table.</w:t>
      </w:r>
    </w:p>
    <w:p>
      <w:pPr>
        <w:pStyle w:val="Heading1"/>
      </w:pPr>
      <w:r>
        <w:t>36.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37.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The planned (*) screens are sequenced into future sprints, broadly: Inventory and Payroll as their own modules; Departments screen and HR Dashboard as HR follow-ups; Shift Scheduling with Attendance; the My HR self-service set once its parent modules (Attendance, Leave, Payroll, Performance) expose per-user endpoints; Marketing &amp; Promos and CMS / Site Builder alongside storefront work. The navigation reorganisation itself is complete.</w:t>
      </w:r>
    </w:p>
    <w:p>
      <w:pPr>
        <w:pStyle w:val="Heading1"/>
      </w:pPr>
      <w:r>
        <w:t>38.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Development Plan: the delegated-administration engine (Permission domain, DELEGATION_RULES, DelegationService, the delegatable-grants endpoint and the Users &amp; Settings screen filter) is delivered. A full per-module sweep to add verb-level (view/create/update/delete/execute) permission checks everywhere one is still missing is noted as a follow-up and not part of this change.</w:t>
      </w:r>
    </w:p>
    <w:p>
      <w:pPr>
        <w:pStyle w:val="Heading1"/>
      </w:pPr>
      <w:r>
        <w:t>39.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Development Plan: navigation and route-level permission gating is delivered (auth payload `permissions`, capabilities map, sidebar filter, route guard). A full per-module sweep to add verb-level (view/create/update/delete/execute) checks to every controller action that still lacks one remains a separate, deferred follow-up.</w:t>
      </w:r>
    </w:p>
    <w:p>
      <w:pPr>
        <w:pStyle w:val="Heading1"/>
      </w:pPr>
      <w:r>
        <w:t>40.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Development Plan: the storefront localisation framework (locale catalogue, i18n context, language picker, all storefront pages wired) is delivered with English complete and Kiswahili/Luganda covering the key UI. Completing the remaining Ugandan languages, translating body prose, and optionally localising server-generated documents are follow-on items.</w:t>
      </w:r>
    </w:p>
    <w:p>
      <w:pPr>
        <w:pStyle w:val="Heading1"/>
      </w:pPr>
      <w:r>
        <w:t>41.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Development Plan: the storefront localisation framework now covers 43 languages with English complete and eight languages carrying the key UI (including right-to-left support via Arabic). Completing the remaining languages, translating body prose and optionally localising server-generated documents remain follow-on content/engineering items.</w:t>
      </w:r>
    </w:p>
    <w:p>
      <w:pPr>
        <w:pStyle w:val="Heading1"/>
      </w:pPr>
      <w:r>
        <w:t>42.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Development Plan: storefront localisation is now complete in breadth (every screen keyed) and, for nine languages, in depth. Remaining items are translation content for the other listed languages and, optionally, localisation of server-generated documents — both outside this change.</w:t>
      </w:r>
    </w:p>
    <w:p>
      <w:pPr>
        <w:pStyle w:val="Heading1"/>
      </w:pPr>
      <w:r>
        <w:t>43.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Development Plan: database content localisation is delivered for the finite glossary vocabulary and the English-normalisation write path, with source-language capture. Wiring a real machine-translation provider for free-form prose, and extending coverage to other customer-authored fields, are follow-on items outside this change.</w:t>
      </w:r>
    </w:p>
    <w:p>
      <w:pPr>
        <w:pStyle w:val="Heading1"/>
      </w:pPr>
      <w:r>
        <w:t>44.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Development Plan: currency and figure localisation is delivered for display (fixed-rate conversion, locale formatting, digit script) and for write (numeral normalisation). A live FX rate source, and converting currency amounts inside free-text, are follow-on items outside this change.</w:t>
      </w:r>
    </w:p>
    <w:p>
      <w:pPr>
        <w:pStyle w:val="Heading1"/>
      </w:pPr>
      <w:r>
        <w:t>45.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Development Plan: subsidiary lifecycle (CRUD + activate/deactivate for companies, branches, departments, policies; MD permissions) is delivered. A new work stream — the Clearing, Forwarding &amp; Logistics System (doc 19), five phases from foundation through customs/compliance to integrations and mobile — is added to the indicative sequencing as future scope, reusing the existing platform where possible.</w:t>
      </w:r>
    </w:p>
    <w:p>
      <w:pPr>
        <w:pStyle w:val="Heading1"/>
      </w:pPr>
      <w:r>
        <w:t>46.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Development Plan: a second future work stream — the Warehouse Management System (doc 20), five phases from foundation through Uganda-specific features and reporting to mobile / integrations and advanced capabilities — is added to the indicative sequencing, reusing the existing platform where possible.</w:t>
      </w:r>
    </w:p>
    <w:p>
      <w:pPr>
        <w:pStyle w:val="Heading1"/>
      </w:pPr>
      <w:r>
        <w:t>47.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Development plan: the Inventory module is delivered as the first slice of doc 20 Module 2 (Core Inventory Management). Remaining inventory scope — per-branch balances, bin locations, batch/lot and serial tracking, cycle counting and inter-branch transfers — stays on the WMS phased backlog.</w:t>
      </w:r>
    </w:p>
    <w:p>
      <w:pPr>
        <w:pStyle w:val="Heading1"/>
      </w:pPr>
      <w:r>
        <w:t>48.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Development plan: Marketing &amp; Promos and CMS / Site Builder move from “planned” to delivered. Remaining scope — campaign scheduling with usage analytics, featured-product placement, a storefront menu / footer builder and a visual page editor with preview — stays on the backlog.</w:t>
      </w:r>
    </w:p>
    <w:p>
      <w:pPr>
        <w:pStyle w:val="Heading1"/>
      </w:pPr>
      <w:r>
        <w:t>49.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Development Plan: no new work stream — a permission adjustment closing the gap between the Managing Director's intended authority and what the role held after the Marketing and CMS activation.</w:t>
      </w:r>
    </w:p>
    <w:p>
      <w:pPr>
        <w:pStyle w:val="Heading1"/>
      </w:pPr>
      <w:r>
        <w:t>50.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Development Plan: closes the gap left when Marketing &amp; Promos and CMS were activated without being wired into the localisation seam. A production-grade machine-translation provider for free-form body prose remains the open item.</w:t>
      </w:r>
    </w:p>
    <w:p>
      <w:pPr>
        <w:pStyle w:val="Heading1"/>
      </w:pPr>
      <w:r>
        <w:t>51.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Development Plan: HR Dashboard and Departments move from planned to delivered. Remaining HR placeholders — Shift Scheduling, Payroll, and the My HR self-service set — stay on the backlog; department heads and cost centres are a later enhancement of the Departments screen.</w:t>
      </w:r>
    </w:p>
    <w:p>
      <w:pPr>
        <w:pStyle w:val="Heading1"/>
      </w:pPr>
      <w:r>
        <w:t>52.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Development Plan: Shift Scheduling and Payroll move from planned to delivered — the ADMIN and HUMAN RESOURCES sections now have no unbuilt screens. Remaining placeholders are the My HR self-service set and the Financial &amp; Accounting overview tile; a payroll bank-file export and employee-facing payslip delivery are later enhancements.</w:t>
      </w:r>
    </w:p>
    <w:p>
      <w:pPr>
        <w:pStyle w:val="Heading1"/>
      </w:pPr>
      <w:r>
        <w:t>53.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Development Plan: My HR moves from planned to delivered — the navigation redesign's ADMIN, HUMAN RESOURCES and MY HR categories now contain only working screens. Remaining: the Financial &amp; Accounting overview tile, and enhancements (payslip PDF, shift swap / cover requests).</w:t>
      </w:r>
    </w:p>
    <w:p>
      <w:pPr>
        <w:pStyle w:val="Heading1"/>
      </w:pPr>
      <w:r>
        <w:t>54.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Development Plan: no work-stream change — a demo-data completeness step so the My HR area can be shown from any seeded staff persona.</w:t>
      </w:r>
    </w:p>
    <w:p>
      <w:pPr>
        <w:pStyle w:val="Heading1"/>
      </w:pPr>
      <w:r>
        <w:t>55.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Development Plan: the Financial &amp; Accounting overview moves from planned to delivered — the navigation redesign is now fully built out. Remaining finance enhancements: consolidated position charts on the landing page, and a period-close checklist with per-task status.</w:t>
      </w:r>
    </w:p>
    <w:p>
      <w:pPr>
        <w:pStyle w:val="Heading1"/>
      </w:pPr>
      <w:r>
        <w:t>56.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Development Plan: customer self-service auth is delivered. Follow-ups: real Google ID-token verification, e-mail / SMS delivery of reset links, and optional e-mail/phone verification on sign-up.</w:t>
      </w:r>
    </w:p>
    <w:p>
      <w:pPr>
        <w:pStyle w:val="Heading1"/>
      </w:pPr>
      <w:r>
        <w:t>57.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Development — group catalogue, branch attribution and per-subsidiary checkout delivered; per-branch stock split and geolocation “near me” remain deferred.</w:t>
      </w:r>
    </w:p>
    <w:p>
      <w:pPr>
        <w:pStyle w:val="Heading1"/>
      </w:pPr>
      <w:r>
        <w:t>58.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Development — all four subsidiaries now have a storefront catalogue; the Clearing/Forwarding and WMS back-office systems (docs 19, 20) remain the next major build.</w:t>
      </w:r>
    </w:p>
    <w:p>
      <w:pPr>
        <w:pStyle w:val="Heading1"/>
      </w:pPr>
      <w:r>
        <w:t>59.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Development — content localisation now spans the group storefront end to end; a real translation provider for arbitrary prose remains the outstanding item.</w:t>
      </w:r>
    </w:p>
    <w:p>
      <w:pPr>
        <w:pStyle w:val="Heading1"/>
      </w:pPr>
      <w:r>
        <w:t>60.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Development — API documentation is now generated from code (@nestjs/swagger CLI plugin) rather than maintained by hand. Standing rule: build the backend with nest build (the plugin does not run under bare tsc), clearing tsconfig.tsbuildinfo first in this environment.</w:t>
      </w:r>
    </w:p>
    <w:p>
      <w:pPr>
        <w:pStyle w:val="Heading1"/>
      </w:pPr>
      <w:r>
        <w:t>61.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Development — the storefront now has a public corporate surface (styles/corporate.css, components/CorporateLayout.jsx, pages/corporate/*) alongside the authenticated portal. Standing rule: public, pre-login reads go through a dedicated unguarded controller (e.g. /customer-portal/public/*) that exposes only already-public data.</w:t>
      </w:r>
    </w:p>
    <w:p>
      <w:pPr>
        <w:pStyle w:val="Heading1"/>
      </w:pPr>
      <w:r>
        <w:t>62.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Development — standing note: the public corporate pages (styles/corporate.css, pages/corporate/*) follow the storefront design system, not a separate theme. New corporate UI should reuse the storefront’s tokens and .sf-/mc- conventions.</w:t>
      </w:r>
    </w:p>
    <w:p>
      <w:pPr>
        <w:pStyle w:val="Heading1"/>
      </w:pPr>
      <w:r>
        <w:t>63.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Development — standing note: public pages that render CMS content should reuse CorporateLayout and the mc-*/storefront design system rather than a bespoke header.</w:t>
      </w:r>
    </w:p>
    <w:p>
      <w:pPr>
        <w:pStyle w:val="Heading1"/>
      </w:pPr>
      <w:r>
        <w:t>64.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Development — pattern to follow: site-wide, admin-managed content that the storefront displays lives in the CMS module with its own service, is gated by cms.manage / cms.viewAll (no bespoke permission), is audited, and is exposed to the storefront through an unguarded /customer-portal/public/* read.</w:t>
      </w:r>
    </w:p>
    <w:p>
      <w:pPr>
        <w:pStyle w:val="Heading1"/>
      </w:pPr>
      <w:r>
        <w:t>65.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Development — reinforces the pattern: site-wide admin-managed content the storefront displays lives in the CMS module with its own service, gated by cms.manage / cms.viewAll, audited; public reads go through the unguarded /customer-portal/public/* controller; a public write (newsletter) carries an explicit @Throttle and is written to be idempotent and non-enumerating.</w:t>
      </w:r>
    </w:p>
    <w:p>
      <w:pPr>
        <w:pStyle w:val="Heading1"/>
      </w:pPr>
      <w:r>
        <w:t>66.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Development — content localisation now spans the storefront end to end, orders and payments included. Standing rule: every customer-facing read localises via ContentTranslationService.toLocale / toOrderResource(lang); every customer-typed write goes through toEnglish and keeps *_original + *_source_language; identifiers (references, codes) are digit-normalised only.</w:t>
      </w:r>
    </w:p>
    <w:p>
      <w:pPr>
        <w:pStyle w:val="Heading1"/>
      </w:pPr>
      <w:r>
        <w:t>67.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Development — content localisation is now complete across every customer-facing read and write path. Standing rule unchanged: reads localise via ContentTranslationService (toLocale / toOrderResource(lang) / a loc() helper), customer-typed writes go through toEnglish and keep *_original where the field is prose, identifiers and codes are digit-normalised only.</w:t>
      </w:r>
    </w:p>
    <w:p>
      <w:pPr>
        <w:pStyle w:val="Heading1"/>
      </w:pPr>
      <w:r>
        <w:t>68.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Development — doc 21 is added to the specification set alongside 19 and 20; the CMS is sequenced as a future phase after the current Phase 1 / Phase 2 work. The subsidiary's organisation is seeded now so it is real and manageable from day one.</w:t>
      </w:r>
    </w:p>
    <w:p>
      <w:pPr>
        <w:pStyle w:val="Heading1"/>
      </w:pPr>
      <w:r>
        <w:t>69.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Development — reinforces the CMS pattern: site-wide admin-managed content the storefront shows lives in the CMS module with its own service, is gated by cms.manage / cms.viewAll, is audited, and is exposed to the storefront through an unguarded /customer-portal/public/* read. A blocking pre-landing gate is a top-level route decision (App.jsx RootPage), not a layout modal.</w:t>
      </w:r>
    </w:p>
    <w:p>
      <w:pPr>
        <w:pStyle w:val="Heading1"/>
      </w:pPr>
      <w:r>
        <w:t>70.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Development — the corp.* catalogue is now translated like the rest of the storefront; keep it in step. First-visit language detection order is: ?lang= (persisted) → navigator.languages → English.</w:t>
      </w:r>
    </w:p>
    <w:p>
      <w:pPr>
        <w:pStyle w:val="Heading1"/>
      </w:pPr>
      <w:r>
        <w:t>71.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Development — the reference catalogue (Collateral-Management-Company-Services-Catalog.docx) is mapped to ten concrete priced services in docx/21’s services addendum; the CMS platform build is still sequenced as a future phase.</w:t>
      </w:r>
    </w:p>
    <w:p>
      <w:pPr>
        <w:pStyle w:val="Heading1"/>
      </w:pPr>
      <w:r>
        <w:t>72.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Development — standing rule: an admin screen's manage / approve / create control is gated by the permission the API enforces (hasPermission), optionally OR a convenience role list; a bare hasRole gate is a bug because a delegated permission grant would not reach it. Sixteen legacy screens were brought into line here.</w:t>
      </w:r>
    </w:p>
    <w:p>
      <w:pPr>
        <w:pStyle w:val="Heading1"/>
      </w:pPr>
      <w:r>
        <w:t>73.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Development — use src/components/Logo.jsx for the brand mark; it takes size / tile / tone and colours the “M” from currentColor. Brand values: navy #1E3A5F, amber #D97706 — see brand/README.md.</w:t>
      </w:r>
    </w:p>
    <w:p>
      <w:pPr>
        <w:pStyle w:val="Heading1"/>
      </w:pPr>
      <w:r>
        <w:t>74.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Development — to use a banner in-app, reference /brand/banners/&lt;name&gt;.svg (served from public/); the *-bg.svg files are textures meant to sit under live HTML copy, the rest carry baked text. Brand values in brand/README.md.</w:t>
      </w:r>
    </w:p>
    <w:p>
      <w:pPr>
        <w:pStyle w:val="Heading1"/>
      </w:pPr>
      <w:r>
        <w:t>75.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Development — use bannerFor(name) from lib/corporate.js for a subsidiary banner (falls back to the group hero); reference GROUP_HERO_BANNER / PROMO_STRIP_BANNER for the group-level strips. Assets are served from public/brand/banners/.</w:t>
      </w:r>
    </w:p>
    <w:p>
      <w:pPr>
        <w:pStyle w:val="Heading1"/>
      </w:pPr>
      <w:r>
        <w:t>76.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Development — Phase 1 back end done (schema, module, staff + customer APIs, scope, audit). Remaining: seed delivery.manage / delivery.viewAll and grant them (MD, IT Admin, a dispatch role), build the Admin “Delivery” screen and the storefront tracking view, seed demo drivers / deliveries, regenerate openapi.json, then the later phases (mobile apps, routing, fee engine, analytics).</w:t>
      </w:r>
    </w:p>
    <w:p>
      <w:pPr>
        <w:pStyle w:val="Heading1"/>
      </w:pPr>
      <w:r>
        <w:t>77.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Development — build order: switch on the delivery back end (seed delivery.*); add the customer acknowledgement endpoint and storefront prompt; add invoice issuedAt / stampedAt / deliveryId / acknowledgedCondition plus a migration; render the Morise stamp and acknowledgement block into the invoice PDF; wire the exception path and notifications; regenerate openapi.json.</w:t>
      </w:r>
    </w:p>
    <w:p>
      <w:pPr>
        <w:pStyle w:val="Heading1"/>
      </w:pPr>
      <w:r>
        <w:t>78.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Development — assignment is done server-side. Remaining for this capability: seed delivery.manage / delivery.viewAll and grant them to a dispatch role (and MD / IT Admin), seed a few Morise Logistics Ltd delivery personas, build the Admin “Delivery” dispatch screen (eligible orders, persona board, assign / reassign), and regenerate openapi.json.</w:t>
      </w:r>
    </w:p>
    <w:p>
      <w:pPr>
        <w:pStyle w:val="Heading1"/>
      </w:pPr>
      <w:r>
        <w:t>79.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Development — activation done (catalogue entries + role grants, verified). Remaining for the capability: seed a few Morise Logistics Ltd delivery personas, build the Admin “Delivery” dispatch screen (eligible orders, persona board, assign / reassign), and regenerate openapi.json; then the later phases (mobile apps, routing, fee engine, analytics).</w:t>
      </w:r>
    </w:p>
    <w:p>
      <w:pPr>
        <w:pStyle w:val="Heading1"/>
      </w:pPr>
      <w:r>
        <w:t>80.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Development — front-end strings only. If new storefront copy is added, keep the “services catalog / Add to Invoice / Invoice” vocabulary; the basket route and component names remain “cart” for now.</w:t>
      </w:r>
    </w:p>
    <w:p>
      <w:pPr>
        <w:pStyle w:val="Heading1"/>
      </w:pPr>
      <w:r>
        <w:t>81.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Development — build order for the backlog: a salary-structure / component model and its flow into computePay; typed deductions + a Loan entity with a repayment schedule; an optional voluntary pension; a payslip PDF (extend common/reports/pdf.util.ts); a bank payment schedule / EFT file; then the reporting layer — department (needs department_id on payslips), company and consolidated group roll-ups — and regenerate openapi.json.</w:t>
      </w:r>
    </w:p>
    <w:p>
      <w:pPr>
        <w:pStyle w:val="Heading1"/>
      </w:pPr>
      <w:r>
        <w:t>82.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Development — done: salary structures, allowances, overtime, bonuses. Still on the Payroll Management backlog: commissions, a typed-deduction catalogue, a long-term loan facility, a voluntary pension, a payslip PDF, bank payment schedules / EFT, and the department / company / consolidated reporting suite; regenerate openapi.json.</w:t>
      </w:r>
    </w:p>
    <w:p>
      <w:pPr>
        <w:pStyle w:val="Heading1"/>
      </w:pPr>
      <w:r>
        <w:t>83.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Development — the financial module is built. The only backlog item from this list is a dedicated Accounts Receivable sub-ledger reconciliation (open invoices vs the AR control account); everything else is done.</w:t>
      </w:r>
    </w:p>
    <w:p>
      <w:pPr>
        <w:pStyle w:val="Heading1"/>
      </w:pPr>
      <w:r>
        <w:t>84.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Development — build order: a bank / cash account register over the GL account; petty cash (float + transactions); one-step deposit / withdrawal / transfer that posts the journal entry; payment / receipt vouchers; a cash-flow forecast; a dedicated cash-position report; then regenerate openapi.json.</w:t>
      </w:r>
    </w:p>
    <w:p>
      <w:pPr>
        <w:pStyle w:val="Heading1"/>
      </w:pPr>
      <w:r>
        <w:t>85.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Development — build order: a department dimension and a capex / opex tag on Budget; an annual-budget concept; a budget header with a draft → approved status and a revisions history; a group budget roll-up; a utilization report; budget alerts (needs a small alert-rule store); a deeper variance analysis view; then regenerate openapi.json.</w:t>
      </w:r>
    </w:p>
    <w:p>
      <w:pPr>
        <w:pStyle w:val="Heading1"/>
      </w:pPr>
      <w:r>
        <w:t>86.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Development — build order: multi-contact + a credit-limit guard on order creation; quotations with a convert-to-order action; a sales-return / RMA flow; printable delivery notes and receipts; sales commissions + targets + a performance view over the existing order / invoice data; then the CRM domain (leads → opportunities → pipeline, an activity log for calls / emails / meetings, follow-ups, and structured feedback); regenerate openapi.json.</w:t>
      </w:r>
    </w:p>
    <w:p>
      <w:pPr>
        <w:pStyle w:val="Heading1"/>
      </w:pPr>
      <w:r>
        <w:t>87.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Development — build order: a Purchase Requisition with department approval; an RFQ + supplier quotations + a comparison / evaluation step; a Purchase Order with management approval; a Goods Received Note + inspection (depends on an inbound-goods / inventory model); a Purchase Return; a three-way match feeding the existing AP invoice; procurement budgets and reports; regenerate openapi.json.</w:t>
      </w:r>
    </w:p>
    <w:p>
      <w:pPr>
        <w:pStyle w:val="Heading1"/>
      </w:pPr>
      <w:r>
        <w:t>88.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Development — build order: a multi-contact list; supplier documents (needs object storage) and a contract lifecycle; a time-bound suspended status; then SupplierEvaluation with criteria and a derived SupplierPerformance score feeding procurement decisions; regenerate openapi.json.</w:t>
      </w:r>
    </w:p>
    <w:p>
      <w:pPr>
        <w:pStyle w:val="Heading1"/>
      </w:pPr>
      <w:r>
        <w:t>89.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Development — shipped this pass: multi-contact list, suspended status + auto-lift, SupplierEvaluation, derived performance summary. Next: supplier contract and document files (needs object storage), then wiring the suspended status into purchase-order creation so a suspended supplier is refused a new PO.</w:t>
      </w:r>
    </w:p>
    <w:p>
      <w:pPr>
        <w:pStyle w:val="Heading1"/>
      </w:pPr>
      <w:r>
        <w:t>90.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Development — shipped this pass: warehouses, stock locations, per-warehouse balances, transfers, returns, min / max levels, batch + expiry tracking, serial tracking, and the eight reports. Next: warehouse-level put-away to a specific location, FEFO batch consumption on issue, a serial-status history, and wiring stock reservations into order fulfilment.</w:t>
      </w:r>
    </w:p>
    <w:p>
      <w:pPr>
        <w:pStyle w:val="Heading1"/>
      </w:pPr>
      <w:r>
        <w:t>91.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Development — shipped this pass: warehouse staff, receiving, picking / packing / dispatch, physical count + reconciliation, functional bins, barcode lookup. Next: put-away moves to a specific bin, wave / batch picking, pack-station carton &amp; label printing, inbound-appointment (ASN) scheduling, and cycle-count scheduling.</w:t>
      </w:r>
    </w:p>
    <w:p>
      <w:pPr>
        <w:pStyle w:val="Heading1"/>
      </w:pPr>
      <w:r>
        <w:t>92.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Development — shipped this pass: asset categories, supplier / purchase info, periodic inspections, first-class insurance, asset history, four reports. Next: an asset-documents file store (object storage), a reducing-balance depreciation method, scheduled depreciation runs, and an asset-revaluation entry.</w:t>
      </w:r>
    </w:p>
    <w:p>
      <w:pPr>
        <w:pStyle w:val="Heading1"/>
      </w:pPr>
      <w:r>
        <w:t>93.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Development — shipped this pass: the whole fleet register, driver assignment, fuel / odometer, service schedules &amp; records, renewals, accidents, vehicle expenses and five reports. Next: live GPS telematics ingestion, fuel-card import, a driver licence / medical register, tyre management, and a GL posting for fuel and service spend.</w:t>
      </w:r>
    </w:p>
    <w:p>
      <w:pPr>
        <w:pStyle w:val="Heading1"/>
      </w:pPr>
      <w:r>
        <w:t>94.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Development — shipped this pass: the Notifications &amp; Alerts feed. Build order for the remaining sections, by value: Document Management (unblocks contracts, legal, HR docs — needs object storage), then Contract Management, Loan &amp; Financing, Board &amp; Governance and Audit Management; Tax and Multi-Currency alongside Finance; Integrations, API keys, 2FA and automated backup / DR in the final phase.</w:t>
      </w:r>
    </w:p>
    <w:p>
      <w:pPr>
        <w:pStyle w:val="Heading1"/>
      </w:pPr>
      <w:r>
        <w:t>95.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Development — the master specification is now fully catalogued (sections 1-16 built, 17-57 mapped in Update 83, the Final System Objective answered here). The remaining build work is the roadmap items from Update 83 — most valuably the Document store, then Contract, Loan, Board, Investment and Audit Management, then the integration and security layer.</w:t>
      </w:r>
    </w:p>
    <w:p>
      <w:pPr>
        <w:pStyle w:val="Heading1"/>
      </w:pPr>
      <w:r>
        <w:t>96.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Development — a small self-service refinement on top of the payroll module (Update 41): the payslip becomes visible at approval rather than payment. The payroll backlog from Update 45 (salary-structure components, typed deductions, payslip PDF, bank payment schedules, reporting suite) is unchanged.</w:t>
      </w:r>
    </w:p>
    <w:p>
      <w:pPr>
        <w:pStyle w:val="Heading1"/>
      </w:pPr>
      <w:r>
        <w:t>97.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Development — builds directly on Update 83's Alerts feed: the feed is now a notification source, not just a screen, and gains a department dimension. A real job scheduler and email / push delivery remain the deferred pieces of section 39.</w:t>
      </w:r>
    </w:p>
    <w:p>
      <w:pPr>
        <w:pStyle w:val="Heading1"/>
      </w:pPr>
      <w:r>
        <w:t>98.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Development — a follow-up visibility fix on Update 86; the Alerts-as-notifications feature is now usable. Section 39's job scheduler and email / push delivery remain deferred.</w:t>
      </w:r>
    </w:p>
    <w:p>
      <w:pPr>
        <w:pStyle w:val="Heading1"/>
      </w:pPr>
      <w:r>
        <w:t>99.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Development — delivered in one pass on the existing CMS module: one migration, one DTO, four controller routes, one CMS panel, a small storefront footer read; no new module, permission or dependency.</w:t>
      </w:r>
    </w:p>
    <w:p>
      <w:pPr>
        <w:pStyle w:val="Heading1"/>
      </w:pPr>
      <w:r>
        <w:t>100.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Development — delivered in one pass on the existing CMS module: one migration, one DTO, two controller routes, a roster panel replacing the free-form add form; no new module, permission or dependency.</w:t>
      </w:r>
    </w:p>
    <w:p>
      <w:pPr>
        <w:pStyle w:val="Heading1"/>
      </w:pPr>
      <w:r>
        <w:t>101. 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(employee.idcard.issued / reissued / revoked / restored / updated / bulk_generated)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11 seeded cards issued, a newly created employee received a card automatically, deactivation revoked it and reactivation restored it, and verify-by-code, reissue and the scoped feed all behaved. nest build, admin vite build and prisma migrate deploy all clean; openapi.json regenerated (367 paths, 467 operations).</w:t>
      </w:r>
    </w:p>
    <w:p>
      <w:pPr>
        <w:pStyle w:val="Heading2"/>
      </w:pPr>
      <w:r>
        <w:t>Impact on this document</w:t>
      </w:r>
    </w:p>
    <w:p>
      <w:pPr>
        <w:pStyle w:val="BodyText"/>
      </w:pPr>
      <w:r>
        <w:t>Development - delivered: the staff-id-cards module, the automatic EmployeesService hooks, the two permissions and grants, the admin Staff ID Cards screen and the My ID Card self-service screen. Deferred: a real QR encoder, a printable / PDF card, an uploaded photo (object storage).</w:t>
      </w:r>
    </w:p>
    <w:p>
      <w:pPr>
        <w:pStyle w:val="Heading1"/>
      </w:pPr>
      <w:r>
        <w:t>102. 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(the back object resolves the issuer address from the company and the blood group from the card; PATCH sets both). nest build, admin vite build and prisma migrate deploy all clean; openapi.json unchanged at 367 paths / 467 operations.</w:t>
      </w:r>
    </w:p>
    <w:p>
      <w:pPr>
        <w:pStyle w:val="Heading2"/>
      </w:pPr>
      <w:r>
        <w:t>Impact on this document</w:t>
      </w:r>
    </w:p>
    <w:p>
      <w:pPr>
        <w:pStyle w:val="BodyText"/>
      </w:pPr>
      <w:r>
        <w:t>Development - delivered: the back object and blood_group / back_notes columns, the two-faced IdCard component (flip + side-by-side) and the Edit-dialog fields. Deferred (unchanged): a real QR / barcode encoder, a printable / PDF card.</w:t>
      </w:r>
    </w:p>
    <w:p>
      <w:pPr>
        <w:pStyle w:val="Heading1"/>
      </w:pPr>
      <w:r>
        <w:t>103. 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the migration drops the column, the card and back payloads no longer include bloodGroup, backNotes still round-trips, and both card faces render at the same size. nest build, admin vite build and prisma migrate deploy all clean.</w:t>
      </w:r>
    </w:p>
    <w:p>
      <w:pPr>
        <w:pStyle w:val="Heading2"/>
      </w:pPr>
      <w:r>
        <w:t>Impact on this document</w:t>
      </w:r>
    </w:p>
    <w:p>
      <w:pPr>
        <w:pStyle w:val="BodyText"/>
      </w:pPr>
      <w:r>
        <w:t>Development - delivered: dropped the blood_group column and its DTO / UI fields; both card faces now render in one fixed-size box.</w:t>
      </w:r>
    </w:p>
    <w:p>
      <w:pPr>
        <w:pStyle w:val="Heading1"/>
      </w:pPr>
      <w:r>
        <w:t>104. Implementation Status Update 93 (3 September 2026) — Morise Milling Ltd Subsidiary + Milling ERP Specification (New Doc 23)</w:t>
      </w:r>
    </w:p>
    <w:p>
      <w:pPr>
        <w:pStyle w:val="BodyText"/>
      </w:pPr>
      <w:r>
        <w:t>An administrator asked to add a new subsidiary under Morise Holdings Limited with a grain-milling concept, based on the client attachment 'Software Development Features for a Milling Company'.</w:t>
      </w:r>
    </w:p>
    <w:p>
      <w:pPr>
        <w:pStyle w:val="BodyText"/>
      </w:pPr>
      <w:r>
        <w:t>Morise Milling Ltd is seeded as a wholly-owned (100%) subsidiary (company id a1000000-0000-4000-8000-000000000007): six mill sites / branches (Kampala Head Office &amp; Central Mill, Jinja Wheat &amp; Maize Mill, Masindi Maize Mill, Mbale Millet &amp; Sorghum Mill, Lira Grain Mill &amp; Silos, Kampala Distribution Depot); 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IT, IoT &amp; Integrations); and six starter policies (Weighbridge Ticket Integrity, Grain Acceptance &amp; Moisture Limits, Milling Yield &amp; Loss Tolerance, Batch Traceability End to End, Preventive Maintenance Compliance, Food Safety &amp; Product Release). Only prisma/seed.ts changes - no code, schema or permission change; the Managing Director's create / update / delete / activate authority over subsidiaries was delivered earlier.</w:t>
      </w:r>
    </w:p>
    <w:p>
      <w:pPr>
        <w:pStyle w:val="BodyText"/>
      </w:pPr>
      <w:r>
        <w:t>The milling-specific system is a specification, not built. New doc 23 - Milling ERP &amp; Integrated Business Management System - Feature Specification - restates the attachment in the house format: twelve feature modules from grain procurement over a weighbridge through production and milling lines, machine maintenance, QA/QC, packaging, sales, distribution, finance and workforce to a management dashboard with IoT / PLC integration and end-to-end supplier-to-customer batch traceability; plus non-functional requirements, an architecture overview, an integration table, the fifteen recommended roles, a technology-stack table, the organisation as seeded, a five-phase delivery roadmap and a section on reuse of the existing MBMS modules (Suppliers, Inventory / Warehouse, Fleet, Delivery, Accounting, HR / Payroll, Alerts, Audit).</w:t>
      </w:r>
    </w:p>
    <w:p>
      <w:pPr>
        <w:pStyle w:val="BodyText"/>
      </w:pPr>
      <w:r>
        <w:t>The storefront's public site lists Morise Milling Ltd in the Companies directory (SUBSIDIARY_META entry, a new subsidiary-milling.svg banner added to the brand family and mirrored into both apps, and a News item). Group figures become six subsidiaries and twenty-six sites / branches. Verified against the running system: the company, its 6 branches, 12 departments and 6 policies are returned by the /organization API and are manageable by the Managing Director; admin and storefront builds are clean.</w:t>
      </w:r>
    </w:p>
    <w:p>
      <w:pPr>
        <w:pStyle w:val="Heading2"/>
      </w:pPr>
      <w:r>
        <w:t>Impact on this document</w:t>
      </w:r>
    </w:p>
    <w:p>
      <w:pPr>
        <w:pStyle w:val="BodyText"/>
      </w:pPr>
      <w:r>
        <w:t>Development - delivered: the Morise Milling Ltd organisation in seed.ts, the doc 23 specification, the storefront listing and the brand banner. Deferred: the milling ERP itself (doc 23 Section 9, five phases).</w:t>
      </w:r>
    </w:p>
    <w:p>
      <w:pPr>
        <w:pStyle w:val="Heading1"/>
      </w:pPr>
      <w:r>
        <w:t>105. Implementation Status Update 94 (3 September 2026) — Automatic Morise e-Stamp on a Customer-Acknowledged Delivery</w:t>
      </w:r>
    </w:p>
    <w:p>
      <w:pPr>
        <w:pStyle w:val="BodyText"/>
      </w:pPr>
      <w:r>
        <w:t>Update 66 (recorded as a specification only) is now built: after a Morise delivery is completed, the customer confirms - through the customer portal - that they received the order's goods / services in good condition, and MBMS automatically places a Morise e-Stamp on the order's invoice.</w:t>
      </w:r>
    </w:p>
    <w:p>
      <w:pPr>
        <w:pStyle w:val="BodyText"/>
      </w:pPr>
      <w:r>
        <w:t>New endpoint POST /api/v1/customer-portal/orders/:id/delivery/acknowledge (customer JWT) with condition = good | damaged | incomplete | not_received and an optional note. It is allowed only once the order's delivery is `delivered`, and only once. A `good` acknowledgement, in one transaction, stamps the order's invoice - invoices.stamped_at, a unique invoices.stamp_number = MOR-ESTAMP-YYYY-NNNNNN, invoices.stamp_condition = 'good' (new nullable columns, migration 20260903180000_invoice_estamp_delivery_ack) - and logs a delivery event, an invoice.estamp.issued audit entry and a best-effort notification to the selling subsidiary's order team. A damaged / incomplete / not-received acknowledgement issues no stamp: it sets deliveries.exception_opened_at, logs the customer's report as a delivery event and raises a delivery.exception_opened audit entry and a staff notification. The delivery also records customer_ack_condition / customer_ack_at / customer_ack_note / customer_ack_by.</w:t>
      </w:r>
    </w:p>
    <w:p>
      <w:pPr>
        <w:pStyle w:val="BodyText"/>
      </w:pPr>
      <w:r>
        <w:t>The e-Stamp is shown on: the customer's delivery-tracking view (GET /customer-portal/orders/:id/delivery now returns canAcknowledge, the acknowledgement fields and, once stamped, the eStamp), the invoice list and detail (eStamped, stampNumber), and the downloaded invoice PDF - which now draws a navy / amber Morise seal (the Morise 'M' mark, 'MORISE e-STAMP', the stamp number and the confirmation wording) top-right. The staff DeliveryService.get also returns the stamp and acknowledgement fields.</w:t>
      </w:r>
    </w:p>
    <w:p>
      <w:pPr>
        <w:pStyle w:val="BodyText"/>
      </w:pPr>
      <w:r>
        <w:t>Storefront: the My Orders detail shows, for a completed delivery, a 'Did everything arrive in good condition?' panel - 'Yes, confirm receipt' (issues the e-Stamp) or 'Report a problem' (damaged / incomplete / not received + a note, opens a delivery exception); afterwards it shows the confirmation and the e-Stamp number, or the exception notice. The Invoices list shows a 'Morise e-Stamp' badge. Seed adds one completed delivery for a Highland Traders order awaiting confirmation, so the flow is demoable. Verified end to end against the running system: a `good` acknowledgement issued MOR-ESTAMP-2026-000001 on the invoice and rendered the seal on the PDF; the guards (not delivered -&gt; 409, already acknowledged -&gt; 409, no delivery -&gt; 404) and the damaged path (no stamp, exception opened) all behaved. nest build, storefront vite build and prisma migrate deploy all clean; openapi.json regenerated (368 paths / 468 operations). Supersedes the 'spec only - nothing built' status of Update 66.</w:t>
      </w:r>
    </w:p>
    <w:p>
      <w:pPr>
        <w:pStyle w:val="Heading2"/>
      </w:pPr>
      <w:r>
        <w:t>Impact on this document</w:t>
      </w:r>
    </w:p>
    <w:p>
      <w:pPr>
        <w:pStyle w:val="BodyText"/>
      </w:pPr>
      <w:r>
        <w:t>Development - delivered: the acknowledge endpoint + DeliveryService.acknowledgeByCustomer, the invoice / delivery columns + migration, the PDF seal, the storefront panel and the Invoices badge, and a demo delivery in the seed. Supersedes the 'spec only - nothing built' status of Update 66.</w:t>
      </w:r>
    </w:p>
    <w:p>
      <w:pPr>
        <w:pStyle w:val="Heading1"/>
      </w:pPr>
      <w:r>
        <w:t>106. Implementation Status Update 95 (3 September 2026) — A Clear "Confirm Receipt" Button / Link for the Customer e-Stamp Confirmation</w:t>
      </w:r>
    </w:p>
    <w:p>
      <w:pPr>
        <w:pStyle w:val="BodyText"/>
      </w:pPr>
      <w:r>
        <w:t>Following Update 94 (the automatic Morise e-Stamp on a customer-acknowledged delivery), an administrator asked that the customer have a clear confirmation button / link - not just a panel buried in an order's detail.</w:t>
      </w:r>
    </w:p>
    <w:p>
      <w:pPr>
        <w:pStyle w:val="BodyText"/>
      </w:pPr>
      <w:r>
        <w:t>New read GET /api/v1/customer-portal/orders/awaiting-confirmation (customer JWT) returns the customer's own orders with a completed delivery they have not yet confirmed (orderId, orderNumber, deliveryNumber, deliveredAt, companyName). The dashboard summary (GET /customer-portal/dashboard-summary) gains deliveriesToConfirm and firstDeliveryToConfirmOrderId. No schema change, no new permission.</w:t>
      </w:r>
    </w:p>
    <w:p>
      <w:pPr>
        <w:pStyle w:val="BodyText"/>
      </w:pPr>
      <w:r>
        <w:t>Storefront: a dedicated confirmation page at /orders/:id/confirm - a shareable URL that shows the order and delivery summary and a prominent 'Confirm - received in good condition' button plus a 'Report a problem' form (damaged / incomplete / not received + note); on a good confirmation it shows the Morise e-Stamp number and a 'Download stamped invoice' link, on a problem the exception notice. The My Orders list marks each order awaiting confirmation with a 'Confirm receipt -&gt;' link to that page, and the Home dashboard shows a prompt card ('You have N deliveries awaiting your confirmation' + 'Confirm now').</w:t>
      </w:r>
    </w:p>
    <w:p>
      <w:pPr>
        <w:pStyle w:val="BodyText"/>
      </w:pPr>
      <w:r>
        <w:t>The Update 94 acknowledge endpoint, the automatic e-Stamp and the in-detail panel are unchanged. Verified end to end against the running system: awaiting-confirmation and the dashboard count move 1 -&gt; 2 -&gt; 1 as a delivery is completed and then confirmed; the confirmation page issues the e-Stamp. nest build and storefront vite build clean; openapi.json regenerated (369 paths / 469 operations).</w:t>
      </w:r>
    </w:p>
    <w:p>
      <w:pPr>
        <w:pStyle w:val="Heading2"/>
      </w:pPr>
      <w:r>
        <w:t>Impact on this document</w:t>
      </w:r>
    </w:p>
    <w:p>
      <w:pPr>
        <w:pStyle w:val="BodyText"/>
      </w:pPr>
      <w:r>
        <w:t>Development - delivered: the awaiting-confirmation read + dashboard fields, the /orders/:id/confirm page, the Orders-row link and the Home prompt. The acknowledge endpoint and the e-Stamp are unchanged.</w:t>
      </w:r>
    </w:p>
    <w:p>
      <w:pPr>
        <w:pStyle w:val="Heading1"/>
      </w:pPr>
      <w:r>
        <w:t>107. Implementation Status Update 96 (3 September 2026) — Confirm-Receipt Button Driven by the Order's Delivered Status</w:t>
      </w:r>
    </w:p>
    <w:p>
      <w:pPr>
        <w:pStyle w:val="BodyText"/>
      </w:pPr>
      <w:r>
        <w:t>An administrator asked that the customer's 'Confirm receipt' button be driven by the order's status: once admin staff mark the order delivered, the button appears in My Orders, and the customer clicks it to attest the goods / services arrived in good condition - which is what generates the automatic Morise e-Stamp. A Morise Logistics delivery record is no longer required.</w:t>
      </w:r>
    </w:p>
    <w:p>
      <w:pPr>
        <w:pStyle w:val="BodyText"/>
      </w:pPr>
      <w:r>
        <w:t>The Order gains delivered_at (stamped when an administrator advances the order to `delivered`, or a Morise Logistics delivery completes) and customer_receipt_confirmed_at / customer_receipt_condition / customer_receipt_note (migration 20260903200000_order_customer_receipt, which back-fills delivered_at for orders already delivered). GET /api/v1/customer-portal/orders and .../:id now return deliveredAt, the receipt fields and canConfirmReceipt (order.status === 'delivered' AND not yet confirmed), plus eStamped / stampNumber on the invoice sub-object.</w:t>
      </w:r>
    </w:p>
    <w:p>
      <w:pPr>
        <w:pStyle w:val="BodyText"/>
      </w:pPr>
      <w:r>
        <w:t>POST /api/v1/customer-portal/orders/:id/delivery/acknowledge is now order-driven: it is allowed once the order is `delivered` and only once, regardless of whether a delivery record exists. A `good` confirmation records the receipt on the order and auto-stamps the order's invoice (MOR-ESTAMP-YYYY-NNNNNN); any other condition records a dispute (no stamp). When a Morise Logistics delivery record exists, the confirmation is mirrored onto it (its customer_ack_* fields + a delivery event). Audited as invoice.estamp.issued (good) or order.receipt.disputed (else) with a best-effort notification to the selling subsidiary's order team. GET /customer-portal/orders/awaiting-confirmation and the dashboard summary's deliveriesToConfirm now count delivered, unconfirmed orders.</w:t>
      </w:r>
    </w:p>
    <w:p>
      <w:pPr>
        <w:pStyle w:val="BodyText"/>
      </w:pPr>
      <w:r>
        <w:t>Storefront: the My Orders detail's 'Did everything arrive in good condition?' panel, the /orders/:id/confirm page and the 'Confirm receipt -&gt;' row link are all driven by the order's delivered status and no longer need a delivery record. Seed marks delivered_at on every delivered order and pre-confirms + e-stamps the settled ones, leaving one order (ORD-2026-0001) still awaiting the customer's confirmation. Verified end to end against the running system: staff advanced an order to delivered, the customer confirmed 'damaged' (dispute, no stamp) and 'good' (e-Stamp issued, mirrored onto the delivery record where present); the guards (not delivered -&gt; 409, already confirmed -&gt; 409) behaved. nest build, storefront vite build and prisma migrate deploy all clean; openapi.json unchanged at 369 paths / 469 operations.</w:t>
      </w:r>
    </w:p>
    <w:p>
      <w:pPr>
        <w:pStyle w:val="Heading2"/>
      </w:pPr>
      <w:r>
        <w:t>Impact on this document</w:t>
      </w:r>
    </w:p>
    <w:p>
      <w:pPr>
        <w:pStyle w:val="BodyText"/>
      </w:pPr>
      <w:r>
        <w:t>Development - delivered: the Order receipt columns + migration, delivered_at stamping on status advance / delivery completion, the order-driven acknowledge + awaiting-confirmation, order fields in the resources, and the storefront panels re-pointed at the order. The e-Stamp, its PDF seal and the endpoint path are unchanged.</w:t>
      </w:r>
    </w:p>
    <w:p>
      <w:pPr>
        <w:pStyle w:val="Heading1"/>
      </w:pPr>
      <w:r>
        <w:t>108. Implementation Status Update 97 (3 September 2026) — Social Media Publishing — Composer, Publishing Engine &amp; Status Dashboard (New Doc 24)</w:t>
      </w:r>
    </w:p>
    <w:p>
      <w:pPr>
        <w:pStyle w:val="BodyText"/>
      </w:pPr>
      <w:r>
        <w:t>An administrator asked for a mini Buffer / Hootsuite inside MBMS: write one master post, fan it out to many social media channels in one click with per-platform caption overrides, publish now or schedule, and see per-platform success / failure. The architecture plan the administrator supplied - the three layers, the seven feature areas, and the 2026 cost / access reality for X, Meta, LinkedIn and TikTok - is restated in the house format in the new doc 24.</w:t>
      </w:r>
    </w:p>
    <w:p>
      <w:pPr>
        <w:pStyle w:val="BodyText"/>
      </w:pPr>
      <w:r>
        <w:t>A new module (src/social-publishing) exposes /api/v1/social. Schema (migration 20260903220000_social_publishing): social_connections (a simulated OAuth connection per platform - status, account label, a ~60-day token expiry, a placeholder token reference; no real handshake), social_posts (master body, media type + text-reference url, link, status draft / scheduled / publishing / published / partially_failed / failed, scheduledFor) and social_post_targets (one row per platform per post - caption override, status pending / publishing / success / failed / skipped, external id + permalink, error, attempts). Three new governance-domain permissions: social.post.manage (draft / edit / delete, connect / disconnect channels), social.post.publish (fan-out, retry, run the schedule) and social.post.viewAll (composer + posts + dashboard) - the 'can create drafts vs can publish' split.</w:t>
      </w:r>
    </w:p>
    <w:p>
      <w:pPr>
        <w:pStyle w:val="BodyText"/>
      </w:pPr>
      <w:r>
        <w:t>Endpoints: GET /social/platforms (the nine channels with connection state + character limits + media rules), POST /social/platforms/:platform/{connect,disconnect}; GET / POST /social/posts, GET / PATCH / DELETE /social/posts/:id (get returns a per-platform preview - effective caption, character count vs limit, truncation / media / not-connected warnings); POST /social/posts/:id/publish (the single button - fans the post out to every target and computes per-platform success or failure), POST /social/posts/:id/retry (failed targets only), POST /social/run-scheduled (fire due scheduled posts - a stand-in for the cron worker); GET /social/dashboard. Every mutation is audited (social.post.* / social.connection.*).</w:t>
      </w:r>
    </w:p>
    <w:p>
      <w:pPr>
        <w:pStyle w:val="BodyText"/>
      </w:pPr>
      <w:r>
        <w:t>The publish itself is SIMULATED - dispatchOne() enforces the platform's own rules (character limit, media requirement, connection state) and mints a fake permalink on success, rather than calling a real platform API; there is no OAuth handshake or job queue in this build (the same deferred external integration already recorded for Kafka, object storage and email / SMS). The shape a genuine integration slots into is real: a connection per platform, one target row per platform with its own status / external id / error, a fan-out step with partial failure and retry, and a status dashboard. Admin gains a Social Publishing screen under ADMIN / BACKEND (four tabs: Compose with live per-channel preview and caption overrides, Posts with per-platform outcome + retry, Channels connect / disconnect, Dashboard). Seed connects four channels and adds a published post, a draft and a scheduled post. Verified end to end against the running system: a post fanned out with a partial failure (Instagram rejected - no media), a retry after adding media published it, disconnecting a channel failed its target, run-scheduled fired a due post, and the drafts-vs-publish permission split held (Sales Manager 403 on publish). nest build, admin vite build and prisma migrate deploy all clean; openapi.json regenerated (378 paths / 481 operations).</w:t>
      </w:r>
    </w:p>
    <w:p>
      <w:pPr>
        <w:pStyle w:val="Heading2"/>
      </w:pPr>
      <w:r>
        <w:t>Impact on this document</w:t>
      </w:r>
    </w:p>
    <w:p>
      <w:pPr>
        <w:pStyle w:val="BodyText"/>
      </w:pPr>
      <w:r>
        <w:t>Development - delivered: the social-publishing module (composer CRUD, simulated fan-out engine with partial failure + retry, connections, run-scheduled, dashboard), three permissions + grants, and the admin Social Publishing screen. Deferred (doc 24 section 8.5): real per-platform OAuth apps, a real job queue, server-side media processing, real API calls, webhook status, and the aggregator option.</w:t>
      </w:r>
    </w:p>
    <w:p>
      <w:pPr>
        <w:pStyle w:val="Heading1"/>
      </w:pPr>
      <w:r>
        <w:t>109. Implementation Status Update 98 (8 September 2026) — Product Catalogue for Morise Milling Ltd + Branch-Tagged Product Registration (Doc 23)</w:t>
      </w:r>
    </w:p>
    <w:p>
      <w:pPr>
        <w:pStyle w:val="BodyText"/>
      </w:pPr>
      <w:r>
        <w:t>An administrator asked to add products to Morise Milling Ltd. Morise Milling Ltd was seeded as the group's sixth wholly-owned subsidiary in Update 93 (3 September 2026) with six mill sites and twelve departments but zero products — it was spec-stage only. This update gives it its first product catalogue and, at the same time, generalises product registration in the Admin app so any multi-site subsidiary's products can be tagged to the branch/site that produces them, not just company-wide.</w:t>
      </w:r>
    </w:p>
    <w:p>
      <w:pPr>
        <w:pStyle w:val="BodyText"/>
      </w:pPr>
      <w:r>
        <w:t>prisma/seed.ts gains a Morise Milling Ltd product-catalogue block (ensureMillProduct helper, 7 new categories): 24 SKUs — 15 priced finished goods and services (maize, wheat, and millet/sorghum flour lines across 4 pack sizes; maize bran, wheat bran/pollard, maize germ and a compounded dairy meal as by-products; toll milling, grain cleaning/drying, silo storage and grain grading/moisture testing as services) plus 5 finished-goods lines and 4 internal-only items (raw maize/wheat/millet grain intake, printed bag and retail-pack packaging) that are seeded with no unitPrice on purpose — CustomerCatalogService only lists priced products, so raw materials and packaging stay off the customer storefront while Admin Inventory still tracks them. Batch tracking (trackBatches) and min/max stock levels are set per docx/23 section 2.2 (raw-material / finished-goods / packaging warehouses, FIFO-FEFO, min-max levels) and sections 2.5-2.6 (batch numbers, expiry / best-before, end-to-end batch traceability). Each item is attributed to the mill or depot that produces or holds it (Masindi for maize, Jinja for wheat, Mbale for millet/sorghum, Lira for grain intake and toll-milling services, the Kampala depot for retail packs and packaging).</w:t>
      </w:r>
    </w:p>
    <w:p>
      <w:pPr>
        <w:pStyle w:val="BodyText"/>
      </w:pPr>
      <w:r>
        <w:t>Product.branchId already existed on the schema (29 August 2026, storefront group catalogue), but only the seed could set it — a product registered through the Admin screen was always company-wide. CreateProductDto and UpdateProductDto (mbms/backend/src/products/dto/product.dto.ts) both gain an optional branchId; ProductsService.assertReferencesBelongTo validates on create and update that both the category and the branch belong to the product's own companyId, and every product read (list, get, create, update) now includes and returns companyName and branchName so an Admin list spanning several subsidiaries reads clearly.</w:t>
      </w:r>
    </w:p>
    <w:p>
      <w:pPr>
        <w:pStyle w:val="BodyText"/>
      </w:pPr>
      <w:r>
        <w:t>The Admin Products screen (mbms/frontend/src/pages/Products.jsx) is rebuilt on top of this: a subsidiary filter above the list, Company / Branch / Category / Stock / a per-row Edit action added to the table, and the New Product form replaced with Company and Branch dropdowns (previously a bare company-UUID text field and a "Load Categories" button) that only offer that company's own categories and branches. A new Edit Product modal exposes the PATCH /products/:id endpoint (it has existed since Sprint 4 with no screen) so an administrator can correct a product's price, re-point it at another branch, or retire it without leaving the page. Verified end to end: reseeded and confirmed all 24 Morise Milling Ltd rows in Postgres with the correct branch attribution; nest build clean; openapi.json regenerated (378 paths / 481 operations / 188 schemas — unchanged, this update adds fields to an existing schema, no new path). The group catalogue is now 58 products across 25 categories (53 storefront-priced, 5 internal-only), and all six operating subsidiaries sell at least one product or service — Morise Milling Ltd was the last one still at zero.</w:t>
      </w:r>
    </w:p>
    <w:p>
      <w:pPr>
        <w:pStyle w:val="Heading2"/>
      </w:pPr>
      <w:r>
        <w:t>Impact on this document</w:t>
      </w:r>
    </w:p>
    <w:p>
      <w:pPr>
        <w:pStyle w:val="BodyText"/>
      </w:pPr>
      <w:r>
        <w:t>Development - two backend files (product.dto.ts, products.service.ts), one seed block, and one frontend page rewritten; no new module, dependency, or migration.</w:t>
      </w:r>
    </w:p>
    <w:p>
      <w:pPr>
        <w:pStyle w:val="Heading1"/>
      </w:pPr>
      <w:r>
        <w:t>110. Implementation Status Update 99 (9 September 2026) — Morise Research &amp; Consultancy Ltd — Seventh Subsidiary + RC-MIS Specification (New Doc 25)</w:t>
      </w:r>
    </w:p>
    <w:p>
      <w:pPr>
        <w:pStyle w:val="BodyText"/>
      </w:pPr>
      <w:r>
        <w:t>An administrator asked to add a subsidiary for research and other types of consultancy, based on the client attachment docx/Research_and_Consultancy_Software_Development_Features.docx. Morise Research &amp; Consultancy Ltd is seeded as the group's seventh wholly-owned (100%) subsidiary (company id a1000000-0000-4000-8000-000000000008), registered at Plot 7, Acacia Avenue, Kololo, Kampala, currency UGX, financial year starting 1 January 2026 — created and managed by the Managing Director under the existing subsidiary-lifecycle capability (Update 34), the same way as every prior subsidiary.</w:t>
      </w:r>
    </w:p>
    <w:p>
      <w:pPr>
        <w:pStyle w:val="BodyText"/>
      </w:pPr>
      <w:r>
        <w:t>Five sites/branches (ids b1...0050-0054): Kampala Head Office, and four regional field offices — Gulu (Northern), Mbale (Eastern), Mbarara (Western) and a Karamoja Field Station (Moroto) — reflecting the client attachment's emphasis on geographic coverage and target-population reach for fieldwork. Twelve departments (ids d1...0080-0091) condense the client's fourteen-node RC-MIS architecture into standing organisational units: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 Six starter policies (ids p1...0050-0055): Research Ethics &amp; Informed Consent, Data Protection &amp; Participant Confidentiality, Fieldwork Safety &amp; Security, Data Quality Assurance, Consultant &amp; Enumerator Conflict of Interest, and Contract, Grant &amp; Proposal Compliance.</w:t>
      </w:r>
    </w:p>
    <w:p>
      <w:pPr>
        <w:pStyle w:val="BodyText"/>
      </w:pPr>
      <w:r>
        <w:t>Like every subsidiary before its first feature build, only the organisation is seeded — seed.ts only, no code, schema or permission change. The subsidiary is not a storefront seller (0 products); a research and consultancy firm is billed on contracts, retainers and timesheets, not a priced catalogue, so it does not get a products pass the way Milling did. The RC-MIS itself (fourteen modules: CRM, Proposals &amp; Tenders, Contracts &amp; Grants, Research Projects, Field Data Collection, Data Quality &amp; Analysis, Monitoring &amp; Evaluation, Reports &amp; Deliverables, Knowledge &amp; Documents, Consultants &amp; HR, Finance &amp; Procurement, Risk &amp; Compliance, Client Portal, Management Analytics) is a specification, not built: new docx/25 restates the client attachment in the house documentation format used for docs 19-24, covering the fourteen modules, non-functional requirements, architecture, key integration points, user roles, suggested technology stack, the organisation as built above, a five-phase delivery roadmap, and how it would relate to and reuse the existing MBMS platform.</w:t>
      </w:r>
    </w:p>
    <w:p>
      <w:pPr>
        <w:pStyle w:val="BodyText"/>
      </w:pPr>
      <w:r>
        <w:t>The storefront's corporate site picks up the new subsidiary automatically from GET /customer-portal/public/overview (group now 7 subsidiaries, 31 sites/branches); mbms/storefront/src/lib/corporate.js gains a SUBSIDIARY_META entry, a SUBSIDIARY_BANNER entry and a News item for it. A new brand/banners/subsidiary-research-consultancy.svg (indigo accent; bar-chart-and-magnifying-glass motif — the group's first new subsidiary accent colour since Milling reused the base amber) is mirrored into both apps' public/brand/banners/ and added to brand/README.md's banner table. Verified end to end against the running system: the new company, its 5 branches, 12 departments and 6 policies confirmed in Postgres and via the authenticated Admin organisation API; the public overview endpoint lists it with its branch count; both banner assets resolve at /brand/banners/subsidiary-research-consultancy.svg on the Admin app and the Customer Storefront. No new endpoint, migration or permission; openapi.json unchanged.</w:t>
      </w:r>
    </w:p>
    <w:p>
      <w:pPr>
        <w:pStyle w:val="Heading2"/>
      </w:pPr>
      <w:r>
        <w:t>Impact on this document</w:t>
      </w:r>
    </w:p>
    <w:p>
      <w:pPr>
        <w:pStyle w:val="BodyText"/>
      </w:pPr>
      <w:r>
        <w:t>Development - one seed.ts block (company, 5 branches, 12 departments, 6 policies), one new banner SVG mirrored into two apps, three corporate.js entries, and new docx/25; no backend or frontend code change.</w:t>
      </w:r>
    </w:p>
    <w:p>
      <w:pPr>
        <w:pStyle w:val="Heading1"/>
      </w:pPr>
      <w:r>
        <w:t>111. Implementation Status Update 100 (9 September 2026) — Services Catalogue for Morise Research &amp; Consultancy Ltd (Doc 25)</w:t>
      </w:r>
    </w:p>
    <w:p>
      <w:pPr>
        <w:pStyle w:val="BodyText"/>
      </w:pPr>
      <w:r>
        <w:t>An administrator asked to add products to Morise Research &amp; Consultancy Ltd. Morise Research &amp; Consultancy Ltd was seeded as the group's seventh subsidiary in Update 99 (9 September 2026) with five field offices and twelve departments but zero products — spec-stage only, on the reasoning that a consultancy is billed on contracts and timesheets. Like Morise Collateral Management Ltd (Update 60), which is also billed on contracts and retainers, the subsidiary can still carry a priced services catalogue representing its standard, quotable engagements; this update seeds that first catalogue.</w:t>
      </w:r>
    </w:p>
    <w:p>
      <w:pPr>
        <w:pStyle w:val="BodyText"/>
      </w:pPr>
      <w:r>
        <w:t>prisma/seed.ts gains a Morise Research &amp; Consultancy Ltd services block (reusing the ensureService() helper already used for the Collateral Management catalogue): 23 services (RC-7001 through RC-7051) across 6 new categories — Research &amp; Evaluation Studies (baseline, midline/endline, impact assessment, feasibility, market research, needs assessment), Field Data Collection (quantitative survey enumeration, qualitative FGDs/KIIs, mobile/offline data-collection setup, enumerator recruitment &amp; training), Data Management &amp; Analysis (data cleaning, statistical analysis, qualitative coding, dashboard setup), Monitoring &amp; Evaluation Services (M&amp;E framework design, indicator-tracking-system setup, ongoing M&amp;E support), Technical &amp; Policy Consultancy (policy advisory, institutional capacity assessment, strategic planning facilitation, a senior-researcher day rate) and Training &amp; Capacity Building (research-methods and M&amp;E workshops). Every line is productType 'service', priced in UGX per the standard unit a client's statement of work would quote against (per study, per session, per dataset, per day), and every line carries a unitPrice, so — unlike Morise Milling Ltd's internal raw-material items — the whole catalogue is storefront-visible.</w:t>
      </w:r>
    </w:p>
    <w:p>
      <w:pPr>
        <w:pStyle w:val="BodyText"/>
      </w:pPr>
      <w:r>
        <w:t>Each service is attributed to the office best placed to deliver it: study design, analysis, policy advisory and the day-rate line sit at the Kampala Head Office; fieldwork-heavy lines (household-survey enumeration, focus groups, enumerator training, a needs assessment, ongoing M&amp;E support, the two training workshops) are spread across the Gulu, Mbale, Mbarara and Karamoja field offices to reflect where that work actually happens. No schema, code or permission change — seed.ts only, reusing the existing ensureService()/ensureCategory() helpers and Product model exactly as every prior services catalogue (Logistics, Clearing &amp; Forwarding, Warehouse Management, Collateral Management) did.</w:t>
      </w:r>
    </w:p>
    <w:p>
      <w:pPr>
        <w:pStyle w:val="BodyText"/>
      </w:pPr>
      <w:r>
        <w:t>Verified end to end against the running system: reseeded, all 23 rows confirmed in Postgres with correct branch and category attribution; the Admin Products screen, filtered to Morise Research &amp; Consultancy Ltd, lists all 23 services with correct company/branch/category/price/stock columns (screenshot-verified, no console errors); nest build clean; openapi.json regenerated byte-identical (378 paths / 481 operations / 188 schemas — no new endpoint or field). Group catalogue now 81 products across 31 categories (76 storefront-priced, 5 internal-only); all seven operating subsidiaries now sell at least one product or service.</w:t>
      </w:r>
    </w:p>
    <w:p>
      <w:pPr>
        <w:pStyle w:val="Heading2"/>
      </w:pPr>
      <w:r>
        <w:t>Impact on this document</w:t>
      </w:r>
    </w:p>
    <w:p>
      <w:pPr>
        <w:pStyle w:val="BodyText"/>
      </w:pPr>
      <w:r>
        <w:t>Development - one seed.ts block (23 ensureService() calls, 6 ensureCategory() calls); no backend or frontend code change.</w:t>
      </w:r>
    </w:p>
    <w:p>
      <w:pPr>
        <w:pStyle w:val="Heading1"/>
      </w:pPr>
      <w:r>
        <w:t>112. Implementation Status Update 101 (9 September 2026) — Dockerized Backend, Admin App and Customer Storefront</w:t>
      </w:r>
    </w:p>
    <w:p>
      <w:pPr>
        <w:pStyle w:val="BodyText"/>
      </w:pPr>
      <w:r>
        <w:t>An administrator asked to dockerize the backend, the Admin app and the Customer Storefront. Until now only Postgres and Redis ran as containers (mbms/docker-compose.yml); the three application services ran natively (nest build + node dist/main.js for the backend, npm run dev / Vite for each frontend). This update adds a Dockerfile for each of the three, wires them into docker-compose.yml alongside Postgres and Redis, and verifies the whole stack end to end.</w:t>
      </w:r>
    </w:p>
    <w:p>
      <w:pPr>
        <w:pStyle w:val="BodyText"/>
      </w:pPr>
      <w:r>
        <w:t>backend/Dockerfile is a two-stage build on node:20-bookworm-slim (deliberately not Alpine) for both stages: npm ci, prisma generate, then npm run build — which runs nest build, not a bare tsc, so the @nestjs/swagger CLI plugin still populates the OpenAPI document's request/response schemas exactly as it does outside Docker. The runtime stage copies over only the compiled dist/, the already-generated Prisma Client, and production node_modules (npm ci --omit=dev), then runs node dist/main.js. Both stages install openssl and ca-certificates explicitly — Prisma's own documented fix for a libssl-detection warning on the bare -slim image. Using the same glibc-based Debian image for both the build and runtime stages avoids the well-known 'Query Engine could not be found' failure that mixing an Alpine (musl-libc) build with a glibc runtime, or vice versa, can cause.</w:t>
      </w:r>
    </w:p>
    <w:p>
      <w:pPr>
        <w:pStyle w:val="BodyText"/>
      </w:pPr>
      <w:r>
        <w:t>frontend/Dockerfile and storefront/Dockerfile follow a matching two-stage pattern on node:20-alpine (build) and nginx:1.27-alpine (runtime): npm run build produces a static Vite bundle, and a bundled nginx.conf reverse-proxies /api/* to the backend container by its Compose service name — the same relationship vite.config.js's dev-server proxy gives each app locally, so the existing fetch('/api/v1/...') calls need no code change and no CORS configuration either way. A try_files fallback to index.html handles client-side routing so a deep link or a page reload on a route like /companies still resolves.</w:t>
      </w:r>
    </w:p>
    <w:p>
      <w:pPr>
        <w:pStyle w:val="BodyText"/>
      </w:pPr>
      <w:r>
        <w:t>docker-compose.yml gains backend, frontend and storefront services: backend waits on a new Postgres healthcheck (pg_isready) before starting and gets its DATABASE_URL/PORT overridden to the in-network Postgres host and internal port (the rest of its configuration still comes from backend/.env via env_file); frontend and storefront are exposed on the same host ports their Vite dev servers already used (5173 / 5174) so the URLs are unchanged whether the stack is run natively or dockerized. Migrations and seeding are deliberately still run from the host (npx prisma migrate deploy &amp;&amp; npx prisma db seed against the same containerized Postgres) rather than inside the container, since the runtime image omits the prisma CLI and ts-node to stay small — this was already the workflow before the backend itself was containerized, and is unchanged now.</w:t>
      </w:r>
    </w:p>
    <w:p>
      <w:pPr>
        <w:pStyle w:val="BodyText"/>
      </w:pPr>
      <w:r>
        <w:t>Verified end to end: all three images build clean; docker compose up -d --build brings up all five containers, backend reporting healthy against Postgres's Compose healthcheck; existing seeded data (8 companies, 81 products) survived a Postgres container recreate because it lives in the mbms_pg_data named volume, not in the container itself; a staff login through the dockerized Admin app and a page load of the dockerized Customer Storefront both succeeded with the request round-tripping through nginx to the backend container and back, with zero browser console errors on either app (screenshot-verified). No schema, endpoint or permission change; openapi.json unchanged.</w:t>
      </w:r>
    </w:p>
    <w:p>
      <w:pPr>
        <w:pStyle w:val="Heading2"/>
      </w:pPr>
      <w:r>
        <w:t>Impact on this document</w:t>
      </w:r>
    </w:p>
    <w:p>
      <w:pPr>
        <w:pStyle w:val="BodyText"/>
      </w:pPr>
      <w:r>
        <w:t>Development - three new Dockerfiles, two nginx.conf files, three .dockerignore files, and three new service blocks in docker-compose.yml; no application source code changed.</w:t>
      </w:r>
    </w:p>
    <w:p>
      <w:pPr>
        <w:pStyle w:val="Heading1"/>
      </w:pPr>
      <w:r>
        <w:t>113. Implementation Status Update 102 (9 September 2026) — Storefront Language Set Scoped to 9 Official Languages</w:t>
      </w:r>
    </w:p>
    <w:p>
      <w:pPr>
        <w:pStyle w:val="BodyText"/>
      </w:pPr>
      <w:r>
        <w:t>An administrator asked for the Customer Storefront to be localised and globalised into a specific, named set of languages, grouped exactly as given: Uganda — Official/Global (English), Uganda — Official/Africa (Kiswahili), Uganda — Bantu (Luganda), Africa (Arabic), Europe (German, French, Spanish, Italian), and The Americas (Portuguese).</w:t>
      </w:r>
    </w:p>
    <w:p>
      <w:pPr>
        <w:pStyle w:val="BodyText"/>
      </w:pPr>
      <w:r>
        <w:t>These 9 languages were already shipped fully translated across Updates 29–31 (framework, full key catalogue, database content localisation), inside a much larger 43-language aspirational list added in Update 30 — 34 English-fallback placeholder languages plus two partially-translated regional languages (Runyankole, Acholi). mbms/storefront/src/locales/index.js's LANGUAGE_LIST and LOCALES are now scoped to exactly these 9 official languages, retiring the placeholder and partial entries; every remaining language ships a complete translation, so the picker's “English for now” caveat no longer applies to any option, and TRANSLATED_LANGS now equals FULLY_TRANSLATED_LANGS. The picker's region groups match the administrator's naming exactly.</w:t>
      </w:r>
    </w:p>
    <w:p>
      <w:pPr>
        <w:pStyle w:val="BodyText"/>
      </w:pPr>
      <w:r>
        <w:t>Database content localisation (glossary + TranslationProvider seam, Update 32), currency/figure localisation (lib/format.js's CURRENCY_BY_LANG / LOCALE_TAG, Update 33) and digit transliteration already covered exactly this 9-language set and needed no change. No backend, schema, endpoint or permission change — a front-end scope change to an existing feature. Verified end to end: vite build clean (74 modules); the language picker shows exactly 9 options across the administrator's 6 named region groups, all rendering the full storefront (not an English fallback).</w:t>
      </w:r>
    </w:p>
    <w:p>
      <w:pPr>
        <w:pStyle w:val="Heading2"/>
      </w:pPr>
      <w:r>
        <w:t>Impact on this document</w:t>
      </w:r>
    </w:p>
    <w:p>
      <w:pPr>
        <w:pStyle w:val="BodyText"/>
      </w:pPr>
      <w:r>
        <w:t>Development — LANGUAGE_LIST and LOCALES in mbms/storefront/src/locales/index.js are the only files with a functional change; regional.js's unused nyn/ach exports and eu.js's other language tables are left in place but no longer imported.</w:t>
      </w:r>
    </w:p>
    <w:p>
      <w:pPr>
        <w:pStyle w:val="Heading1"/>
      </w:pPr>
      <w:r>
        <w:t>114. Implementation Status Update 103 (9 September 2026) — Every Non-English Official Language Reaches 100% Key Parity</w:t>
      </w:r>
    </w:p>
    <w:p>
      <w:pPr>
        <w:pStyle w:val="BodyText"/>
      </w:pPr>
      <w:r>
        <w:t>An administrator clarified Update 102's scope: every word on the Customer Storefront — apart from proper nouns such as “Morise Holdings” and a subsidiary's own name — must change with the chosen language, for all 9 official languages.</w:t>
      </w:r>
    </w:p>
    <w:p>
      <w:pPr>
        <w:pStyle w:val="BodyText"/>
      </w:pPr>
      <w:r>
        <w:t>Auditing mbms/storefront/src/locales/en.js (the 528-key complete catalogue) against each translated table found the same 66 keys missing from every one of the 8 non-English languages (fr/es/pt/de/it in eu.js; sw/lg/ar in regional.js) — 462/528 = 87.5% coverage across the board. The gap was entirely features added after the original translation passes and never backfilled: the group-storefront / subsidiary-directory keys (Update 48) and the delivery-confirmation / Morise e-Stamp keys (Updates 94-96) existed only in English.</w:t>
      </w:r>
    </w:p>
    <w:p>
      <w:pPr>
        <w:pStyle w:val="BodyText"/>
      </w:pPr>
      <w:r>
        <w:t>All 66 keys are now translated into all 8 languages (528 new key/value pairs total), reusing the terminology each language already established elsewhere in the catalogue (e.g. French succursale / German Filiale for “branch” vs. French filiale / German Tochtergesellschaft for “subsidiary”, matching the existing corp.whollyOwned wording; Swahili Kampuni / Luganda Kkampuni / Arabic الشركة for “company”, matching account.companyName). “Morise e-Stamp” and company/subsidiary proper nouns are kept untranslated. Every language now carries 528/528 keys — 100% parity with English.</w:t>
      </w:r>
    </w:p>
    <w:p>
      <w:pPr>
        <w:pStyle w:val="BodyText"/>
      </w:pPr>
      <w:r>
        <w:t>A source scan for hard-coded JSX text bypassing the t() catalogue (capitalised text nodes and placeholder/aria-label/title/alt attributes across src/pages and src/components) found nothing outstanding beyond the “MORISE” wordmark in the corporate header logo and one example person-name placeholder — both proper nouns, exempt by the administrator's own instruction. No backend, schema, endpoint or permission change — a locale-data-only change. Verified end to end: vite build clean (74 modules); the dockerized storefront container was rebuilt and redeployed, and the live built bundle was checked directly (curl against the built assets/index-*.js) to confirm the new strings actually ship.</w:t>
      </w:r>
    </w:p>
    <w:p>
      <w:pPr>
        <w:pStyle w:val="Heading2"/>
      </w:pPr>
      <w:r>
        <w:t>Impact on this document</w:t>
      </w:r>
    </w:p>
    <w:p>
      <w:pPr>
        <w:pStyle w:val="BodyText"/>
      </w:pPr>
      <w:r>
        <w:t>Development — only eu.js and regional.js changed (528 new key/value pairs); no other file touched.</w:t>
      </w:r>
    </w:p>
    <w:p>
      <w:pPr>
        <w:pStyle w:val="Heading1"/>
      </w:pPr>
      <w:r>
        <w:t>115. Implementation Status Update 104 (9 September 2026) — Admin App and Customer Storefront Connected to Netlify</w:t>
      </w:r>
    </w:p>
    <w:p>
      <w:pPr>
        <w:pStyle w:val="BodyText"/>
      </w:pPr>
      <w:r>
        <w:t>An administrator asked to connect the project to Netlify. Netlify hosts static sites and serverless functions only — it cannot run the stateful NestJS backend (+ Postgres/Redis) that both front-end apps depend on for every API call, so this connects the two static, front-end-only apps; the backend stays wherever it is already reachable (locally / Docker for now). This is an explicit, agreed trade-off ("wire up Netlify now, backend later") — both deployed apps' /api/v1/* calls fail until the backend has a public URL.</w:t>
      </w:r>
    </w:p>
    <w:p>
      <w:pPr>
        <w:pStyle w:val="BodyText"/>
      </w:pPr>
      <w:r>
        <w:t>Two Netlify sites were created via the Netlify CLI (obekegodfrey3@gmail.com account, team obekegodfrey3's team), each linked to its own subdirectory of this monorepo: morise-storefront (https://morise-storefront.netlify.app) to mbms/storefront; morise-admin (https://morise-admin.netlify.app) to mbms/frontend. A new netlify.toml in each app directory sets the build command (npm run build), the publish directory (dist), a SPA catch-all redirect so react-router-dom's client-side routes survive a hard refresh or direct link (verified: a deep route on each site returns 200, not a Netlify 404), and a commented-out /api/* proxy redirect to the backend, ready to uncomment once it has a public URL — positioned above the catch-all, since Netlify evaluates [[redirects]] blocks in file order.</w:t>
      </w:r>
    </w:p>
    <w:p>
      <w:pPr>
        <w:pStyle w:val="BodyText"/>
      </w:pPr>
      <w:r>
        <w:t>No application code changed: both apps already call the backend at relative /api/v1/* paths (src/lib/api.js), the same paths each app's Dockerfile nginx.conf already reverse-proxies locally, so the Netlify redirect is the natural production equivalent once a backend URL exists. Each site was built and given an initial manual production deploy (netlify deploy --prod --dir=dist), verified live with curl (root and a deep route on each site, both 200).</w:t>
      </w:r>
    </w:p>
    <w:p>
      <w:pPr>
        <w:pStyle w:val="BodyText"/>
      </w:pPr>
      <w:r>
        <w:t>Continuous deployment from GitHub pushes was deliberately not set up — linking a Netlify site to a Git repository for auto-deploys requires installing the Netlify GitHub App, a one-time authorisation only the repository owner can grant by clicking through Netlify's UI (Site configuration -&gt; Build &amp; deploy -&gt; Continuous deployment, connect obekegodfreyvicent/moriseholdings, set Base directory to mbms/storefront or mbms/frontend respectively). .gitignore gained a .netlify entry (auto-added by netlify link, which writes a machine-local linked-site-ID file correctly kept out of git). No backend, schema, endpoint or permission change.</w:t>
      </w:r>
    </w:p>
    <w:p>
      <w:pPr>
        <w:pStyle w:val="Heading2"/>
      </w:pPr>
      <w:r>
        <w:t>Impact on this document</w:t>
      </w:r>
    </w:p>
    <w:p>
      <w:pPr>
        <w:pStyle w:val="BodyText"/>
      </w:pPr>
      <w:r>
        <w:t>Development — two new netlify.toml files (mbms/frontend, mbms/storefront); one .gitignore line; no other file touched.</w:t>
      </w:r>
    </w:p>
    <w:p>
      <w:pPr>
        <w:pStyle w:val="Heading1"/>
      </w:pPr>
      <w:r>
        <w:t>116. Implementation Status Update 105 (9 September 2026) — Promo Banner Wordings Now Change With the Storefront Language</w:t>
      </w:r>
    </w:p>
    <w:p>
      <w:pPr>
        <w:pStyle w:val="BodyText"/>
      </w:pPr>
      <w:r>
        <w:t>An administrator asked that banner wordings on the Customer Storefront also change for the customer's chosen language, across all 9 official languages (Update 102).</w:t>
      </w:r>
    </w:p>
    <w:p>
      <w:pPr>
        <w:pStyle w:val="BodyText"/>
      </w:pPr>
      <w:r>
        <w:t>Banners are admin-authored database content (PromoBanner rows), not UI catalogue strings - they translate through the backend content-glossary seam (ContentTranslationService.toLocale, added Update 39), an exact-phrase dictionary in mbms/backend/src/common/translation/content-glossary.ts, separate from the storefront's own 528-key t() catalogue (Updates 102/103). Only 1 of the 3 seeded promo banners (Morise Agro Ltd's home-page rail: "Season stock-up...") had its heading/body/link label in the glossary; the other two ("One storefront for the whole group" / "Explore the group" and "Bulk fuel and haulage, booked online" / "Book a delivery") were never added when the banner content itself was written (Update 39) - a toLocale() exact-match miss falls through to a word-token partial translation (e.g. "Bulk" -&gt; "En vrac" in French) rather than the full phrase, and for a banner with no matching tokens at all ("One storefront..."), stayed in raw English in every language.</w:t>
      </w:r>
    </w:p>
    <w:p>
      <w:pPr>
        <w:pStyle w:val="BodyText"/>
      </w:pPr>
      <w:r>
        <w:t>All 6 missing glossary entries (2 banners x heading/body/link label) are now added, in all 8 non-English languages, reusing established vocabulary (Fuel / Freight Services already in the glossary from the clearing/forwarding categories).</w:t>
      </w:r>
    </w:p>
    <w:p>
      <w:pPr>
        <w:pStyle w:val="BodyText"/>
      </w:pPr>
      <w:r>
        <w:t>Verified end to end against the running system (rebuilt and restarted the backend Docker container first - the glossary is backend-only code, so the storefront needed no rebuild): logged in as the demo customer, called GET /customer-portal/promo-banners with Accept-Language: en/sw/lg/fr/es/pt/de/it/ar - all 3 banners' heading, body and link label now render fully in the chosen language for all 9, confirmed by inspecting each response directly. No schema, endpoint, permission or storefront-code change - one backend content file.</w:t>
      </w:r>
    </w:p>
    <w:p>
      <w:pPr>
        <w:pStyle w:val="Heading2"/>
      </w:pPr>
      <w:r>
        <w:t>Impact on this document</w:t>
      </w:r>
    </w:p>
    <w:p>
      <w:pPr>
        <w:pStyle w:val="BodyText"/>
      </w:pPr>
      <w:r>
        <w:t>Development — only content-glossary.ts changed (6 new PHRASES entries); no other file touched.</w:t>
      </w:r>
    </w:p>
    <w:p>
      <w:pPr>
        <w:pStyle w:val="Heading1"/>
      </w:pPr>
      <w:r>
        <w:t>117. Implementation Status Update 106 (9 September 2026) — SSL/TLS Certificates via Let's Encrypt</w:t>
      </w:r>
    </w:p>
    <w:p>
      <w:pPr>
        <w:pStyle w:val="BodyText"/>
      </w:pPr>
      <w:r>
        <w:t>An administrator asked for SSL certificates to be added, updated and implemented across the project's hosting.</w:t>
      </w:r>
    </w:p>
    <w:p>
      <w:pPr>
        <w:pStyle w:val="BodyText"/>
      </w:pPr>
      <w:r>
        <w:t>Netlify (Admin app, Customer Storefront) and Render (backend, per render.yaml) already auto-provision and auto-renew free Let's Encrypt certificates for every site they host, including any custom domain added later (Netlify: Site configuration -&gt; Domain management; Render: service -&gt; Settings -&gt; Custom Domains) - this has been true, with zero configuration, since each was connected (Updates 104/105). There was nothing to implement on this path.</w:t>
      </w:r>
    </w:p>
    <w:p>
      <w:pPr>
        <w:pStyle w:val="BodyText"/>
      </w:pPr>
      <w:r>
        <w:t>The self-hosted docker-compose.yml stack had no TLS at all - frontend/storefront's nginx and the backend container all serve plain HTTP only, fine for local development but not for a server reachable from the internet. A new mbms/deploy/ directory closes this gap: docker-compose.ssl.yml adds a public-facing nginx-proxy service (the only container terminating TLS; it reverse-proxies to the existing, unchanged frontend/storefront/backend containers) and a certbot service (a renewal loop every 12h, no host cron needed); nginx/app.conf.template plus ssl-params.conf give each app its own HTTPS server block (HTTP to HTTPS redirect, TLS 1.2/1.3 and HSTS), with domain names templated via envsubst rather than hardcoded; init-letsencrypt.sh bootstraps a throwaway self-signed certificate so nginx can start, then requests the real certificate from Let's Encrypt over the HTTP-01 webroot challenge and reloads nginx onto it, safely re-runnable since it skips any domain that already has a live certificate.</w:t>
      </w:r>
    </w:p>
    <w:p>
      <w:pPr>
        <w:pStyle w:val="BodyText"/>
      </w:pPr>
      <w:r>
        <w:t>Verified: the rendered nginx configuration passed nginx -t inside the pinned nginx:1.27-alpine image before this was committed. No application, schema, endpoint or permission change - this is infrastructure only.</w:t>
      </w:r>
    </w:p>
    <w:p>
      <w:pPr>
        <w:pStyle w:val="Heading2"/>
      </w:pPr>
      <w:r>
        <w:t>Impact on this document</w:t>
      </w:r>
    </w:p>
    <w:p>
      <w:pPr>
        <w:pStyle w:val="BodyText"/>
      </w:pPr>
      <w:r>
        <w:t>Development — no application code changed; all new files live under the new mbms/deploy/ directory (nginx templates, a docker-compose override, a bootstrap script and an example env file).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Development Plan</dc:title>
</cp:coreProperties>
</file>

<file path=docProps/custom.xml><?xml version="1.0" encoding="utf-8"?>
<Properties xmlns="http://schemas.openxmlformats.org/officeDocument/2006/custom-properties" xmlns:vt="http://schemas.openxmlformats.org/officeDocument/2006/docPropsVTypes"/>
</file>