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p>
      <w:pPr>
        <w:pStyle w:val="Heading1"/>
      </w:pPr>
      <w:r>
        <w:t>Implementation Status Update 57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Company &amp; Holdings Management — a new Fleet &amp; Vehicle Management module is added and built — a fleet register on top of (and optionally linked 1:1 to) the Asset module. Migration 20260902130000_fleet_management adds vehicles (registration number unique per company, make / model / year / VIN / colour, fuel type, ownership owned / leased / financed / hired with an owner name, acquisition date, current odometer, a manual last-known-location, status) plus vehicle_driver_assignments (one active, previous auto-ended), vehicle_odometer_readings (mileage history), fuel_logs, service_schedules (computed next-due) + service_records (service / repair; a scheduled service advances the schedule), vehicle_renewals (road licence, inspection certificate, PSV permit, insurance, road worthiness), accident_records and vehicle_expenses (auto-created from fuel / service / renewal + manual). A new fleet.manage / fleet.viewAll permission is added and granted like delivery.* (operational leads get both; Branch Manager and Warehouse Manager get manage; the oversight roles get viewAll). Endpoints under /api/v1/fleet cover vehicle CRUD, a per-vehicle summary, a manual location log, driver assignment, odometer &amp; fuel logs, service schedules &amp; records, renewals, accident records, vehicle expenses, and five reports at GET /fleet/reports/* (fleet register, fuel consumption with L/100km &amp; cost/km, expenses by vehicle &amp; category, renewals due, service due). Every mutation is audited. Vehicle inspection and insurance are covered by the linked asset (AssetInspection / AssetInsurancePolicy); “tracking” is the odometer history plus a manual location — live GPS telematics is out of scope. The admin app gains a Fleet screen (nav under Admin / Backend, route /fleet) with a register, an eight-tab per-vehicle detail dialog and a Reports tab. Seed adds three Morise Agro Ltd vehicles (one linked to the Hilux asset), a driver, fuel logs, a service schedule + service, a repair, three renewals (one expired), an accident and the matching expense lines. openapi.json regenerated. Next on the backlog: GPS telematics ingestion, fuel-card import, a driver-licence register, tyre management, GL posting for fuel / service spend.</w:t>
      </w:r>
    </w:p>
    <w:p>
      <w:pPr>
        <w:pStyle w:val="Heading1"/>
      </w:pPr>
      <w:r>
        <w:t>Implementation Status Update 58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Company &amp; Holdings Management — the remaining feature specification (sections 17-57) is recorded against the running system. Substantial parts are already BUILT: Project Management (src/projects), Expense Management (src/expenses), Customer Support (src/support), the System Audit Trail (src/common/audit + /audit/logs + centralised access-denied logging), Inter-Company Transactions (src/inter-company, dual balanced journal entries), Consolidated Financial Management (?consolidated=true statements, management-accounts, budget-vs-actual), Multi-Branch (the Branch entity + BR-01 branch scoping + branch dashboard), Business Intelligence &amp; Dashboards (src/dashboard, src/finance, src/hr-dashboard, nine financial statements), the Security core (JWT + refresh, configurable password policy, lockout, role/company/branch/department scope, delegated administration, audit), API Management (a generated OpenAPI document over 349 paths), Configuration basics (policies, roles, numbering, periods), the coded Workflows (sales, procurement/AP, employee lifecycle, expense, contract expiry) and Performance &amp; KPI (src/performance). PARTIAL: Contract Management (supplier contract reference + expiry only), Investment and Shareholding Management (the ownership structure is modelled), Tax (Uganda PAYE/NSSF + VAT amounts), Multi-Currency (a currency code only), the Approval engine (concrete approvals but no config), Communication and Marketing (notifications + discount codes / banners / CMS, no messaging or campaigns), Search, Import/Export, Mobile, Compliance and Data Protection. PLANNED: Legal Management, a real Document store (the object-storage gap), Loan &amp; Financing, Board &amp; Corporate Governance, Audit Management, Backup &amp; Disaster Recovery, external Integrations, a Business Process Management designer, and Exit &amp; Employee Separation. The recommended System Architecture (section 54) already matches the running stack's core (Node.js / NestJS / Fastify / PostgreSQL / Redis / Prisma / REST / OpenAPI / JWT / Docker); the distributed components (Kafka, microservices, Jaeger / EFK, Prometheus / Grafana, Ansible, Certbot, iRedMail, Zulip) stay deferred. On the phased plan: Phase 1 complete, Phase 2 complete, Phase 3 largely complete (loans / investments / tax outstanding), Phase 4 partial (contracts / legal / compliance / board / documents outstanding), Phase 5 minimal. Implemented this pass: Notifications &amp; Alerts (section 39) — a new src/alerts module with GET /api/v1/alerts and /alerts/summary, a single cross-module feed (overdue invoices AR &amp; AP, pending approvals, expiring supplier contracts, vehicle renewals and service due, asset insurance and inspections, stock below minimum, expiring batches, project deadlines) with a severity, a days window, category / severity filters and a scope-filtered summary; read-only, no schema, no new permission. The admin app gains an Alerts screen. openapi.json regenerated.</w:t>
      </w:r>
    </w:p>
    <w:p>
      <w:pPr>
        <w:pStyle w:val="Heading1"/>
      </w:pPr>
      <w:r>
        <w:t>Implementation Status Update 59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Company &amp; Holdings Management — the Final System Objective — one centralized platform for the whole group with proper separation between companies, branches, departments and users, answering seventeen fixed group-management questions, functioning as an ERP + HRM + CRM + Accounting + Inventory + Procurement + Project + Asset + Corporate-Governance system for Morise Holdings Limited — is recorded and its executive answer layer implemented. The separation model is already the spine of the build (BR-01 company / branch / department scoping server-side, a role and permission catalogue with delegated administration, the group → subsidiary → branch hierarchy), and the named module coverage is substantially in place. New src/executive module: GET /api/v1/executive/questions returns the seventeen questions each with a live plain-language answer, a numeric value, a unit, a status (answered / partial / planned) and a per-company or per-item breakdown; GET /api/v1/executive/overview returns the same figures as a compact summary. Both are filtered to the caller's company scope per BR-01 — a user with organization.company.viewAll gets the whole group, a subsidiary-scoped user gets only their companies and every answer recomputes for that set. The answers draw on DashboardService financials (per-company and group assets, liabilities, cash, receivables, payables, revenue, expense, net profit) plus targeted queries for asset net book value, active headcount and the monthly salary bill, project profitability, supplier contracts expiring within 60 days, vehicle service due, stock below minimum, pending approvals and department spend. Fifteen questions are answered outright; “which contracts are about to expire?” and “how much has each department spent?” are partial (supplier contracts / paid expenses only); “how are group investments performing?” is planned pending an Investment register. Read-only; no schema; no new permission. The admin app gains an Executive Q&amp;A screen under Financial &amp; Accounting (route /executive). openapi.json regenerated. This completes the documentation pass over the master specification.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