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Business case - the group can now publish one message to every social media channel from one screen, with per-channel overrides, scheduling and a success / failure dashboard. Additive: one module, three tables, three governance permissions. The live platform integration (OAuth + APIs) is a documented deferral - new doc 24 records the cost / access reality and the aggregator option.</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Business case - Morise Milling Ltd's business case now rests on a live, priced product line rather than a specification alone; no change to the group's cost basis or phasing.</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Business case - the group's client-facing service mix now includes research and consultancy, a seventh revenue line alongside agro-inputs, freight, clearing &amp; forwarding, warehousing, collateral management and milling; no change to the group's cost basis or phasing.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