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Feasibility - no feasibility impact: this reuses the existing multi-tenant Product model and Admin CRUD screen. Branch tagging was already present on the schema (29 August); only its write path and the Admin UI caught up.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Feasibility - no feasibility impact: the subsidiary's organisation is seeded the same way as every subsidiary before it, reusing the existing subsidiary-lifecycle capability. The RC-MIS system itself is a specification, not a feasibility commitment.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