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p>
      <w:pPr>
        <w:pStyle w:val="Heading1"/>
      </w:pPr>
      <w:r>
        <w:t>109.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Development - two backend files (product.dto.ts, products.service.ts), one seed block, and one frontend page rewritten; no new module, dependency, or migration.</w:t>
      </w:r>
    </w:p>
    <w:p>
      <w:pPr>
        <w:pStyle w:val="Heading1"/>
      </w:pPr>
      <w:r>
        <w:t>110.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Development - one seed.ts block (company, 5 branches, 12 departments, 6 policies), one new banner SVG mirrored into two apps, three corporate.js entries, and new docx/25; no backend or frontend code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