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Feasibility - the composer, fan-out engine, partial-failure handling, retry and dashboard are feasible and built; the genuinely hard / costly parts (per-platform OAuth apps, X's pay-per-use billing, Meta app review, LinkedIn's Marketing Developer Platform approval, server-side media processing, a job queue) are scoped in doc 24 as the next phase.</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Feasibility - no feasibility impact: this reuses the existing multi-tenant Product model and Admin CRUD screen. Branch tagging was already present on the schema (29 August); only its write path and the Admin UI caught up.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Feasibility - no feasibility impact: the subsidiary's organisation is seeded the same way as every subsidiary before it, reusing the existing subsidiary-lifecycle capability. The RC-MIS system itself is a specification, not a feasibility commitment.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Feasibility - no feasibility impact: reuses the existing Product/ProductCategory model and the ensureService() seed helper already exercised for four other subsidiaries' services catalogues.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Feasibility - no feasibility impact: containerizing an already-working application is an operational change, not a new capability requiring new feasibility analysis.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Feasibility — no feasibility impact: trimming an existing translated list to a named subset needs no new technical capability.</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Feasibility — no feasibility impact: backfilling translation keys that already had an established pattern needed no new technical capability.</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Feasibility — no feasibility impact: static hosting of two already-working Vite builds is an operational change, not a new capability requiring design.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