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Schema - no schema change.</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Schema — no schema change: the language choice stays client-side (localStorage), as before.</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Schema — no schema change: the translation catalogue is static front-end data.</w:t>
      </w:r>
    </w:p>
    <w:p>
      <w:pPr>
        <w:pStyle w:val="Heading1"/>
      </w:pPr>
      <w:r>
        <w:t>119.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Schema — no schema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