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API - no new endpoint: the new services appear automatically through the existing GET/POST/PATCH /products and /product-categories paths.</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API - no new endpoint or contract change: openapi.json is unchanged (378 paths / 481 operations / 188 schemas) since the dockerized backend runs the identical compiled application.</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API — no API change: Accept-Language negotiation on the backend already only recognised these translated codes.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API — no API change.</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API — no API change; openapi.json unaffected.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