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Morise Holdings Limited</w:t>
      </w:r>
    </w:p>
    <w:p>
      <w:pPr>
        <w:pStyle w:val="BodyText"/>
        <w:bidi w:val="0"/>
        <w:spacing w:before="30" w:after="283"/>
        <w:ind w:hanging="0" w:left="0" w:right="0"/>
        <w:jc w:val="left"/>
        <w:rPr>
          <w:color w:val="444444"/>
          <w:sz w:val="24"/>
        </w:rPr>
      </w:pPr>
      <w:r>
        <w:rPr>
          <w:color w:val="444444"/>
          <w:sz w:val="24"/>
        </w:rPr>
        <w:t>Alpha Test Plan</w:t>
      </w:r>
    </w:p>
    <w:p>
      <w:pPr>
        <w:pStyle w:val="BodyText"/>
        <w:bidi w:val="0"/>
        <w:spacing w:before="30" w:after="283"/>
        <w:ind w:hanging="0" w:left="0" w:right="0"/>
        <w:jc w:val="left"/>
        <w:rPr>
          <w:color w:val="444444"/>
          <w:sz w:val="24"/>
        </w:rPr>
      </w:pPr>
      <w:r>
        <w:rPr>
          <w:color w:val="444444"/>
          <w:sz w:val="24"/>
        </w:rPr>
        <w:t>Morise Holdings Limited Business Management System (MBMS) — Phase 1 (Core / MVP)</w:t>
      </w:r>
    </w:p>
    <w:tbl>
      <w:tblPr>
        <w:tblW w:w="8303" w:type="dxa"/>
        <w:jc w:val="left"/>
        <w:tblInd w:w="28" w:type="dxa"/>
        <w:tblLayout w:type="fixed"/>
        <w:tblCellMar>
          <w:top w:w="28" w:type="dxa"/>
          <w:left w:w="28" w:type="dxa"/>
          <w:bottom w:w="28" w:type="dxa"/>
          <w:right w:w="28" w:type="dxa"/>
        </w:tblCellMar>
      </w:tblPr>
      <w:tblGrid>
        <w:gridCol w:w="2058"/>
        <w:gridCol w:w="6245"/>
      </w:tblGrid>
      <w:tr>
        <w:trPr/>
        <w:tc>
          <w:tcPr>
            <w:tcW w:w="2058" w:type="dxa"/>
            <w:tcBorders/>
            <w:vAlign w:val="center"/>
          </w:tcPr>
          <w:p>
            <w:pPr>
              <w:pStyle w:val="TableContents"/>
              <w:bidi w:val="0"/>
              <w:spacing w:before="0" w:after="283"/>
              <w:jc w:val="left"/>
              <w:rPr>
                <w:b/>
              </w:rPr>
            </w:pPr>
            <w:r>
              <w:rPr>
                <w:b/>
              </w:rPr>
              <w:t>Document Type:</w:t>
            </w:r>
          </w:p>
        </w:tc>
        <w:tc>
          <w:tcPr>
            <w:tcW w:w="6245" w:type="dxa"/>
            <w:tcBorders/>
            <w:vAlign w:val="center"/>
          </w:tcPr>
          <w:p>
            <w:pPr>
              <w:pStyle w:val="TableContents"/>
              <w:bidi w:val="0"/>
              <w:spacing w:before="0" w:after="283"/>
              <w:jc w:val="left"/>
              <w:rPr/>
            </w:pPr>
            <w:r>
              <w:rPr/>
              <w:t>Alpha Test Plan</w:t>
            </w:r>
          </w:p>
        </w:tc>
      </w:tr>
      <w:tr>
        <w:trPr/>
        <w:tc>
          <w:tcPr>
            <w:tcW w:w="2058" w:type="dxa"/>
            <w:tcBorders/>
            <w:vAlign w:val="center"/>
          </w:tcPr>
          <w:p>
            <w:pPr>
              <w:pStyle w:val="TableContents"/>
              <w:bidi w:val="0"/>
              <w:spacing w:before="0" w:after="283"/>
              <w:jc w:val="left"/>
              <w:rPr>
                <w:b/>
              </w:rPr>
            </w:pPr>
            <w:r>
              <w:rPr>
                <w:b/>
              </w:rPr>
              <w:t>Purpose:</w:t>
            </w:r>
          </w:p>
        </w:tc>
        <w:tc>
          <w:tcPr>
            <w:tcW w:w="6245" w:type="dxa"/>
            <w:tcBorders/>
            <w:vAlign w:val="center"/>
          </w:tcPr>
          <w:p>
            <w:pPr>
              <w:pStyle w:val="TableContents"/>
              <w:bidi w:val="0"/>
              <w:spacing w:before="0" w:after="283"/>
              <w:jc w:val="left"/>
              <w:rPr/>
            </w:pPr>
            <w:r>
              <w:rPr/>
              <w:t>Defines internal testing</w:t>
            </w:r>
          </w:p>
        </w:tc>
      </w:tr>
      <w:tr>
        <w:trPr/>
        <w:tc>
          <w:tcPr>
            <w:tcW w:w="2058" w:type="dxa"/>
            <w:tcBorders/>
            <w:vAlign w:val="center"/>
          </w:tcPr>
          <w:p>
            <w:pPr>
              <w:pStyle w:val="TableContents"/>
              <w:bidi w:val="0"/>
              <w:spacing w:before="0" w:after="283"/>
              <w:jc w:val="left"/>
              <w:rPr>
                <w:b/>
              </w:rPr>
            </w:pPr>
            <w:r>
              <w:rPr>
                <w:b/>
              </w:rPr>
              <w:t>Version:</w:t>
            </w:r>
          </w:p>
        </w:tc>
        <w:tc>
          <w:tcPr>
            <w:tcW w:w="6245" w:type="dxa"/>
            <w:tcBorders/>
            <w:vAlign w:val="center"/>
          </w:tcPr>
          <w:p>
            <w:pPr>
              <w:pStyle w:val="TableContents"/>
              <w:bidi w:val="0"/>
              <w:spacing w:before="0" w:after="283"/>
              <w:jc w:val="left"/>
              <w:rPr/>
            </w:pPr>
            <w:r>
              <w:rPr/>
              <w:t>1.0 (Draft)</w:t>
            </w:r>
          </w:p>
        </w:tc>
      </w:tr>
      <w:tr>
        <w:trPr/>
        <w:tc>
          <w:tcPr>
            <w:tcW w:w="2058" w:type="dxa"/>
            <w:tcBorders/>
            <w:vAlign w:val="center"/>
          </w:tcPr>
          <w:p>
            <w:pPr>
              <w:pStyle w:val="TableContents"/>
              <w:bidi w:val="0"/>
              <w:spacing w:before="0" w:after="283"/>
              <w:jc w:val="left"/>
              <w:rPr>
                <w:b/>
              </w:rPr>
            </w:pPr>
            <w:r>
              <w:rPr>
                <w:b/>
              </w:rPr>
              <w:t>Date:</w:t>
            </w:r>
          </w:p>
        </w:tc>
        <w:tc>
          <w:tcPr>
            <w:tcW w:w="6245" w:type="dxa"/>
            <w:tcBorders/>
            <w:vAlign w:val="center"/>
          </w:tcPr>
          <w:p>
            <w:pPr>
              <w:pStyle w:val="TableContents"/>
              <w:bidi w:val="0"/>
              <w:spacing w:before="0" w:after="283"/>
              <w:jc w:val="left"/>
              <w:rPr/>
            </w:pPr>
            <w:r>
              <w:rPr/>
              <w:t>18 August 2026</w:t>
            </w:r>
          </w:p>
        </w:tc>
      </w:tr>
      <w:tr>
        <w:trPr/>
        <w:tc>
          <w:tcPr>
            <w:tcW w:w="2058" w:type="dxa"/>
            <w:tcBorders/>
            <w:vAlign w:val="center"/>
          </w:tcPr>
          <w:p>
            <w:pPr>
              <w:pStyle w:val="TableContents"/>
              <w:bidi w:val="0"/>
              <w:spacing w:before="0" w:after="283"/>
              <w:jc w:val="left"/>
              <w:rPr>
                <w:b/>
              </w:rPr>
            </w:pPr>
            <w:r>
              <w:rPr>
                <w:b/>
              </w:rPr>
              <w:t>Prepared by:</w:t>
            </w:r>
          </w:p>
        </w:tc>
        <w:tc>
          <w:tcPr>
            <w:tcW w:w="6245" w:type="dxa"/>
            <w:tcBorders/>
            <w:vAlign w:val="center"/>
          </w:tcPr>
          <w:p>
            <w:pPr>
              <w:pStyle w:val="TableContents"/>
              <w:bidi w:val="0"/>
              <w:spacing w:before="0" w:after="283"/>
              <w:jc w:val="left"/>
              <w:rPr/>
            </w:pPr>
            <w:r>
              <w:rPr/>
              <w:t>Obeke Godfrey, Director</w:t>
            </w:r>
          </w:p>
        </w:tc>
      </w:tr>
      <w:tr>
        <w:trPr/>
        <w:tc>
          <w:tcPr>
            <w:tcW w:w="2058" w:type="dxa"/>
            <w:tcBorders/>
            <w:vAlign w:val="center"/>
          </w:tcPr>
          <w:p>
            <w:pPr>
              <w:pStyle w:val="TableContents"/>
              <w:bidi w:val="0"/>
              <w:spacing w:before="0" w:after="283"/>
              <w:jc w:val="left"/>
              <w:rPr>
                <w:b/>
              </w:rPr>
            </w:pPr>
            <w:r>
              <w:rPr>
                <w:b/>
              </w:rPr>
              <w:t>Prepared for:</w:t>
            </w:r>
          </w:p>
        </w:tc>
        <w:tc>
          <w:tcPr>
            <w:tcW w:w="6245" w:type="dxa"/>
            <w:tcBorders/>
            <w:vAlign w:val="center"/>
          </w:tcPr>
          <w:p>
            <w:pPr>
              <w:pStyle w:val="TableContents"/>
              <w:bidi w:val="0"/>
              <w:spacing w:before="0" w:after="283"/>
              <w:jc w:val="left"/>
              <w:rPr/>
            </w:pPr>
            <w:r>
              <w:rPr/>
              <w:t>Development Team / Technology Partner, Morise Holdings Limited</w:t>
            </w:r>
          </w:p>
        </w:tc>
      </w:tr>
      <w:tr>
        <w:trPr/>
        <w:tc>
          <w:tcPr>
            <w:tcW w:w="2058" w:type="dxa"/>
            <w:tcBorders/>
            <w:vAlign w:val="center"/>
          </w:tcPr>
          <w:p>
            <w:pPr>
              <w:pStyle w:val="TableContents"/>
              <w:bidi w:val="0"/>
              <w:spacing w:before="0" w:after="283"/>
              <w:jc w:val="left"/>
              <w:rPr>
                <w:b/>
              </w:rPr>
            </w:pPr>
            <w:r>
              <w:rPr>
                <w:b/>
              </w:rPr>
              <w:t>Related documents:</w:t>
            </w:r>
          </w:p>
        </w:tc>
        <w:tc>
          <w:tcPr>
            <w:tcW w:w="6245" w:type="dxa"/>
            <w:tcBorders/>
            <w:vAlign w:val="center"/>
          </w:tcPr>
          <w:p>
            <w:pPr>
              <w:pStyle w:val="TableContents"/>
              <w:bidi w:val="0"/>
              <w:spacing w:before="0" w:after="283"/>
              <w:jc w:val="left"/>
              <w:rPr/>
            </w:pPr>
            <w:r>
              <w:rPr/>
              <w:t>10_Test Plan; 11_Deployment Plan; 12_UAT Plan</w:t>
            </w:r>
          </w:p>
        </w:tc>
      </w:tr>
    </w:tbl>
    <w:p>
      <w:pPr>
        <w:pStyle w:val="Heading2"/>
        <w:bidi w:val="0"/>
        <w:jc w:val="left"/>
        <w:rPr/>
      </w:pPr>
      <w:r>
        <w:rPr/>
        <w:t>1. Purpose and Where This Fits</w:t>
      </w:r>
    </w:p>
    <w:p>
      <w:pPr>
        <w:pStyle w:val="BodyText"/>
        <w:bidi w:val="0"/>
        <w:jc w:val="left"/>
        <w:rPr/>
      </w:pPr>
      <w:r>
        <w:rPr/>
        <w:t xml:space="preserve">10_Test Plan defines system, security and performance testing as scripted verification against specific test cases (its Section 8), run by whoever owns that test level. 12_UAT Plan defines business-facing scenarios run by department representatives who are not expected to dig into logs or traces when something looks wrong. </w:t>
      </w:r>
      <w:r>
        <w:rPr>
          <w:b/>
        </w:rPr>
        <w:t>Alpha testing sits between the two</w:t>
      </w:r>
      <w:r>
        <w:rPr/>
        <w:t>: the development team and IT Administrator use the fully integrated Phase 1 system — all eight services, the API Gateway, Kafka and the observability stack running together — the way a real user would, across every module in combination, while also deliberately exercising the operational failure/recovery scenarios no business user should ever be asked to trigger.</w:t>
      </w:r>
    </w:p>
    <w:p>
      <w:pPr>
        <w:pStyle w:val="BodyText"/>
        <w:bidi w:val="0"/>
        <w:spacing w:before="150" w:after="150"/>
        <w:ind w:hanging="0" w:left="150" w:right="150"/>
        <w:jc w:val="left"/>
        <w:rPr>
          <w:sz w:val="21"/>
          <w:bdr w:val="single" w:sz="24" w:space="9" w:color="1F3864"/>
          <w:shd w:fill="EAF1FB" w:val="clear"/>
        </w:rPr>
      </w:pPr>
      <w:r>
        <w:rPr>
          <w:sz w:val="21"/>
          <w:bdr w:val="single" w:sz="24" w:space="9" w:color="1F3864"/>
          <w:shd w:fill="EAF1FB" w:val="clear"/>
        </w:rPr>
        <w:t>Alpha testing's exit criteria (Section 6) is the same condition 12_UAT Plan, Section 6 already names as UAT's entry criteria: "Alpha testing has passed and staging has been stable for at least one week without a Critical defect." This document defines what "Alpha testing has passed" actually means.</w:t>
      </w:r>
    </w:p>
    <w:p>
      <w:pPr>
        <w:pStyle w:val="Heading2"/>
        <w:bidi w:val="0"/>
        <w:jc w:val="left"/>
        <w:rPr/>
      </w:pPr>
      <w:r>
        <w:rPr/>
        <w:t>2. Objectives</w:t>
      </w:r>
    </w:p>
    <w:p>
      <w:pPr>
        <w:pStyle w:val="BodyText"/>
        <w:numPr>
          <w:ilvl w:val="0"/>
          <w:numId w:val="1"/>
        </w:numPr>
        <w:tabs>
          <w:tab w:val="clear" w:pos="1134"/>
          <w:tab w:val="left" w:pos="709" w:leader="none"/>
        </w:tabs>
        <w:bidi w:val="0"/>
        <w:spacing w:before="0" w:after="0"/>
        <w:ind w:hanging="283" w:left="709"/>
        <w:jc w:val="left"/>
        <w:rPr/>
      </w:pPr>
      <w:r>
        <w:rPr/>
        <w:t xml:space="preserve">Confirm the system behaves correctly when used across modules in realistic combinations, not only within the boundaries of individual test cases (10_Test Plan, Section 8). </w:t>
      </w:r>
    </w:p>
    <w:p>
      <w:pPr>
        <w:pStyle w:val="BodyText"/>
        <w:numPr>
          <w:ilvl w:val="0"/>
          <w:numId w:val="1"/>
        </w:numPr>
        <w:tabs>
          <w:tab w:val="clear" w:pos="1134"/>
          <w:tab w:val="left" w:pos="709" w:leader="none"/>
        </w:tabs>
        <w:bidi w:val="0"/>
        <w:spacing w:before="0" w:after="0"/>
        <w:ind w:hanging="283" w:left="709"/>
        <w:jc w:val="left"/>
        <w:rPr/>
      </w:pPr>
      <w:r>
        <w:rPr/>
        <w:t xml:space="preserve">Find issues an automated test suite or a single-service integration test would not surface — timing issues, confusing error messages, awkward flows — before department representatives encounter them in UAT. </w:t>
      </w:r>
    </w:p>
    <w:p>
      <w:pPr>
        <w:pStyle w:val="BodyText"/>
        <w:numPr>
          <w:ilvl w:val="0"/>
          <w:numId w:val="1"/>
        </w:numPr>
        <w:tabs>
          <w:tab w:val="clear" w:pos="1134"/>
          <w:tab w:val="left" w:pos="709" w:leader="none"/>
        </w:tabs>
        <w:bidi w:val="0"/>
        <w:spacing w:before="0" w:after="0"/>
        <w:ind w:hanging="283" w:left="709"/>
        <w:jc w:val="left"/>
        <w:rPr/>
      </w:pPr>
      <w:r>
        <w:rPr/>
        <w:t xml:space="preserve">Verify the system can actually be </w:t>
      </w:r>
      <w:r>
        <w:rPr>
          <w:i/>
        </w:rPr>
        <w:t>operated</w:t>
      </w:r>
      <w:r>
        <w:rPr/>
        <w:t xml:space="preserve">, not just that it functions: that a failed service recovers, that a bad deployment can be rolled back as documented, that monitoring and alerting genuinely work, and that backup/restore succeeds — all of which 07_System Design Document and 11_Deployment Plan describe on paper but which must be proven by actually doing them. </w:t>
      </w:r>
    </w:p>
    <w:p>
      <w:pPr>
        <w:pStyle w:val="BodyText"/>
        <w:numPr>
          <w:ilvl w:val="0"/>
          <w:numId w:val="1"/>
        </w:numPr>
        <w:tabs>
          <w:tab w:val="clear" w:pos="1134"/>
          <w:tab w:val="left" w:pos="709" w:leader="none"/>
        </w:tabs>
        <w:bidi w:val="0"/>
        <w:ind w:hanging="283" w:left="709"/>
        <w:jc w:val="left"/>
        <w:rPr/>
      </w:pPr>
      <w:r>
        <w:rPr/>
        <w:t xml:space="preserve">Produce a clean, stable staging environment that UAT participants can trust — Alpha testing exists partly to protect UAT participants' time and confidence. </w:t>
      </w:r>
    </w:p>
    <w:p>
      <w:pPr>
        <w:pStyle w:val="Heading2"/>
        <w:bidi w:val="0"/>
        <w:jc w:val="left"/>
        <w:rPr/>
      </w:pPr>
      <w:r>
        <w:rPr/>
        <w:t>3. Scope</w:t>
      </w:r>
    </w:p>
    <w:p>
      <w:pPr>
        <w:pStyle w:val="BodyText"/>
        <w:bidi w:val="0"/>
        <w:jc w:val="left"/>
        <w:rPr/>
      </w:pPr>
      <w:r>
        <w:rPr/>
        <w:t>All Phase 1 services (Identity, Organization, Employee, Customer, Supplier, Product, Accounting, Audit &amp; Reporting), the API Gateway, Kafka, Redis and the observability stack (Prometheus/Grafana, Jaeger, EFK), deployed together in the staging environment (11_Deployment Plan, Section 3) — the first point in the project where the entire Phase 1 system exists and is tested as one thing rather than eight independent pieces.</w:t>
      </w:r>
    </w:p>
    <w:p>
      <w:pPr>
        <w:pStyle w:val="Heading2"/>
        <w:bidi w:val="0"/>
        <w:jc w:val="left"/>
        <w:rPr/>
      </w:pPr>
      <w:r>
        <w:rPr/>
        <w:t>4. Alpha Test Team</w:t>
      </w:r>
    </w:p>
    <w:tbl>
      <w:tblPr>
        <w:tblW w:w="11339" w:type="dxa"/>
        <w:jc w:val="left"/>
        <w:tblInd w:w="28" w:type="dxa"/>
        <w:tblLayout w:type="fixed"/>
        <w:tblCellMar>
          <w:top w:w="28" w:type="dxa"/>
          <w:left w:w="28" w:type="dxa"/>
          <w:bottom w:w="28" w:type="dxa"/>
          <w:right w:w="28" w:type="dxa"/>
        </w:tblCellMar>
      </w:tblPr>
      <w:tblGrid>
        <w:gridCol w:w="1586"/>
        <w:gridCol w:w="9753"/>
      </w:tblGrid>
      <w:tr>
        <w:trPr/>
        <w:tc>
          <w:tcPr>
            <w:tcW w:w="1586" w:type="dxa"/>
            <w:tcBorders/>
            <w:vAlign w:val="center"/>
          </w:tcPr>
          <w:p>
            <w:pPr>
              <w:pStyle w:val="TableHeading"/>
              <w:suppressLineNumbers/>
              <w:shd w:fill="1F3864" w:val="clear"/>
              <w:bidi w:val="0"/>
              <w:spacing w:before="0" w:after="283"/>
              <w:jc w:val="left"/>
              <w:rPr/>
            </w:pPr>
            <w:r>
              <w:rPr/>
              <w:t>Role</w:t>
            </w:r>
          </w:p>
        </w:tc>
        <w:tc>
          <w:tcPr>
            <w:tcW w:w="9753" w:type="dxa"/>
            <w:tcBorders/>
            <w:vAlign w:val="center"/>
          </w:tcPr>
          <w:p>
            <w:pPr>
              <w:pStyle w:val="TableHeading"/>
              <w:suppressLineNumbers/>
              <w:shd w:fill="1F3864" w:val="clear"/>
              <w:bidi w:val="0"/>
              <w:spacing w:before="0" w:after="283"/>
              <w:jc w:val="left"/>
              <w:rPr/>
            </w:pPr>
            <w:r>
              <w:rPr/>
              <w:t>Responsibility</w:t>
            </w:r>
          </w:p>
        </w:tc>
      </w:tr>
      <w:tr>
        <w:trPr/>
        <w:tc>
          <w:tcPr>
            <w:tcW w:w="1586" w:type="dxa"/>
            <w:tcBorders/>
            <w:vAlign w:val="center"/>
          </w:tcPr>
          <w:p>
            <w:pPr>
              <w:pStyle w:val="TableContents"/>
              <w:bidi w:val="0"/>
              <w:spacing w:before="0" w:after="283"/>
              <w:jc w:val="left"/>
              <w:rPr/>
            </w:pPr>
            <w:r>
              <w:rPr/>
              <w:t>QA/Test Engineer</w:t>
            </w:r>
          </w:p>
        </w:tc>
        <w:tc>
          <w:tcPr>
            <w:tcW w:w="9753" w:type="dxa"/>
            <w:tcBorders/>
            <w:vAlign w:val="center"/>
          </w:tcPr>
          <w:p>
            <w:pPr>
              <w:pStyle w:val="TableContents"/>
              <w:bidi w:val="0"/>
              <w:spacing w:before="0" w:after="283"/>
              <w:jc w:val="left"/>
              <w:rPr/>
            </w:pPr>
            <w:r>
              <w:rPr/>
              <w:t>Leads Alpha testing; owns the checklist in Section 5; triages findings</w:t>
            </w:r>
          </w:p>
        </w:tc>
      </w:tr>
      <w:tr>
        <w:trPr/>
        <w:tc>
          <w:tcPr>
            <w:tcW w:w="1586" w:type="dxa"/>
            <w:tcBorders/>
            <w:vAlign w:val="center"/>
          </w:tcPr>
          <w:p>
            <w:pPr>
              <w:pStyle w:val="TableContents"/>
              <w:bidi w:val="0"/>
              <w:spacing w:before="0" w:after="283"/>
              <w:jc w:val="left"/>
              <w:rPr/>
            </w:pPr>
            <w:r>
              <w:rPr/>
              <w:t>Developers</w:t>
            </w:r>
          </w:p>
        </w:tc>
        <w:tc>
          <w:tcPr>
            <w:tcW w:w="9753" w:type="dxa"/>
            <w:tcBorders/>
            <w:vAlign w:val="center"/>
          </w:tcPr>
          <w:p>
            <w:pPr>
              <w:pStyle w:val="TableContents"/>
              <w:bidi w:val="0"/>
              <w:spacing w:before="0" w:after="283"/>
              <w:jc w:val="left"/>
              <w:rPr/>
            </w:pPr>
            <w:r>
              <w:rPr/>
              <w:t>Participate as testers, ideally testing modules/services they did not personally build (cross-testing catches assumptions a service's own author might not question)</w:t>
            </w:r>
          </w:p>
        </w:tc>
      </w:tr>
      <w:tr>
        <w:trPr/>
        <w:tc>
          <w:tcPr>
            <w:tcW w:w="1586" w:type="dxa"/>
            <w:tcBorders/>
            <w:vAlign w:val="center"/>
          </w:tcPr>
          <w:p>
            <w:pPr>
              <w:pStyle w:val="TableContents"/>
              <w:bidi w:val="0"/>
              <w:spacing w:before="0" w:after="283"/>
              <w:jc w:val="left"/>
              <w:rPr/>
            </w:pPr>
            <w:r>
              <w:rPr/>
              <w:t>IT Administrator</w:t>
            </w:r>
          </w:p>
        </w:tc>
        <w:tc>
          <w:tcPr>
            <w:tcW w:w="9753" w:type="dxa"/>
            <w:tcBorders/>
            <w:vAlign w:val="center"/>
          </w:tcPr>
          <w:p>
            <w:pPr>
              <w:pStyle w:val="TableContents"/>
              <w:bidi w:val="0"/>
              <w:spacing w:before="0" w:after="283"/>
              <w:jc w:val="left"/>
              <w:rPr/>
            </w:pPr>
            <w:r>
              <w:rPr/>
              <w:t>Leads the operational-readiness drills (Section 5.3) — this is as much a test of the team's own runbooks as of the software</w:t>
            </w:r>
          </w:p>
        </w:tc>
      </w:tr>
      <w:tr>
        <w:trPr/>
        <w:tc>
          <w:tcPr>
            <w:tcW w:w="1586" w:type="dxa"/>
            <w:tcBorders/>
            <w:vAlign w:val="center"/>
          </w:tcPr>
          <w:p>
            <w:pPr>
              <w:pStyle w:val="TableContents"/>
              <w:bidi w:val="0"/>
              <w:spacing w:before="0" w:after="283"/>
              <w:jc w:val="left"/>
              <w:rPr/>
            </w:pPr>
            <w:r>
              <w:rPr/>
              <w:t>Security reviewer</w:t>
            </w:r>
          </w:p>
        </w:tc>
        <w:tc>
          <w:tcPr>
            <w:tcW w:w="9753" w:type="dxa"/>
            <w:tcBorders/>
            <w:vAlign w:val="center"/>
          </w:tcPr>
          <w:p>
            <w:pPr>
              <w:pStyle w:val="TableContents"/>
              <w:bidi w:val="0"/>
              <w:spacing w:before="0" w:after="283"/>
              <w:jc w:val="left"/>
              <w:rPr/>
            </w:pPr>
            <w:r>
              <w:rPr/>
              <w:t>Performs a final internal access-control spot-check (Section 5.4) ahead of, or alongside, the formal security testing in 10_Test Plan, Section 3.5</w:t>
            </w:r>
          </w:p>
        </w:tc>
      </w:tr>
    </w:tbl>
    <w:p>
      <w:pPr>
        <w:pStyle w:val="Heading2"/>
        <w:bidi w:val="0"/>
        <w:jc w:val="left"/>
        <w:rPr/>
      </w:pPr>
      <w:r>
        <w:rPr/>
        <w:t>5. Alpha Test Activities</w:t>
      </w:r>
    </w:p>
    <w:p>
      <w:pPr>
        <w:pStyle w:val="Heading3"/>
        <w:bidi w:val="0"/>
        <w:jc w:val="left"/>
        <w:rPr/>
      </w:pPr>
      <w:r>
        <w:rPr/>
        <w:t>5.1 Full Functional Regression (Integrated Environment)</w:t>
      </w:r>
    </w:p>
    <w:p>
      <w:pPr>
        <w:pStyle w:val="BodyText"/>
        <w:bidi w:val="0"/>
        <w:jc w:val="left"/>
        <w:rPr/>
      </w:pPr>
      <w:r>
        <w:rPr/>
        <w:t>Re-execute 10_Test Plan, Section 8's 33 test cases (TC-001–TC-033) against the fully integrated staging environment, not the per-service/isolated conditions they may have first passed under during earlier system testing. This catches issues that only appear when all eight services are actually talking to each other under real network and timing conditions — particularly the [async] cases, which depend on genuine Kafka propagation latency rather than a test harness's simulated one.</w:t>
      </w:r>
    </w:p>
    <w:p>
      <w:pPr>
        <w:pStyle w:val="Heading3"/>
        <w:bidi w:val="0"/>
        <w:jc w:val="left"/>
        <w:rPr/>
      </w:pPr>
      <w:r>
        <w:rPr/>
        <w:t>5.2 Exploratory, Cross-Module Testing</w:t>
      </w:r>
    </w:p>
    <w:p>
      <w:pPr>
        <w:pStyle w:val="BodyText"/>
        <w:bidi w:val="0"/>
        <w:jc w:val="left"/>
        <w:rPr/>
      </w:pPr>
      <w:r>
        <w:rPr/>
        <w:t>Beyond the scripted test cases, testers use the system the way a real user would across a session — e.g., create a company and branch, add several employees, register customers and suppliers, set up a chart of accounts and post a handful of journal entries, then check the dashboard and audit trail reflect all of it correctly. This mirrors 12_UAT Plan's scenarios in spirit but is run by testers empowered to dig into Jaeger traces or service logs the moment something looks inconsistent, which a UAT participant cannot do.</w:t>
      </w:r>
    </w:p>
    <w:tbl>
      <w:tblPr>
        <w:tblW w:w="11339" w:type="dxa"/>
        <w:jc w:val="left"/>
        <w:tblInd w:w="28" w:type="dxa"/>
        <w:tblLayout w:type="fixed"/>
        <w:tblCellMar>
          <w:top w:w="28" w:type="dxa"/>
          <w:left w:w="28" w:type="dxa"/>
          <w:bottom w:w="28" w:type="dxa"/>
          <w:right w:w="28" w:type="dxa"/>
        </w:tblCellMar>
      </w:tblPr>
      <w:tblGrid>
        <w:gridCol w:w="10385"/>
        <w:gridCol w:w="954"/>
      </w:tblGrid>
      <w:tr>
        <w:trPr/>
        <w:tc>
          <w:tcPr>
            <w:tcW w:w="10385" w:type="dxa"/>
            <w:tcBorders/>
            <w:vAlign w:val="center"/>
          </w:tcPr>
          <w:p>
            <w:pPr>
              <w:pStyle w:val="TableHeading"/>
              <w:suppressLineNumbers/>
              <w:shd w:fill="1F3864" w:val="clear"/>
              <w:bidi w:val="0"/>
              <w:spacing w:before="0" w:after="283"/>
              <w:jc w:val="left"/>
              <w:rPr/>
            </w:pPr>
            <w:r>
              <w:rPr/>
              <w:t>Checklist Item</w:t>
            </w:r>
          </w:p>
        </w:tc>
        <w:tc>
          <w:tcPr>
            <w:tcW w:w="954" w:type="dxa"/>
            <w:tcBorders/>
            <w:vAlign w:val="center"/>
          </w:tcPr>
          <w:p>
            <w:pPr>
              <w:pStyle w:val="TableHeading"/>
              <w:suppressLineNumbers/>
              <w:shd w:fill="1F3864" w:val="clear"/>
              <w:bidi w:val="0"/>
              <w:spacing w:before="0" w:after="283"/>
              <w:jc w:val="left"/>
              <w:rPr/>
            </w:pPr>
            <w:r>
              <w:rPr/>
              <w:t>Pass/Fail</w:t>
            </w:r>
          </w:p>
        </w:tc>
      </w:tr>
      <w:tr>
        <w:trPr/>
        <w:tc>
          <w:tcPr>
            <w:tcW w:w="10385" w:type="dxa"/>
            <w:tcBorders/>
            <w:vAlign w:val="center"/>
          </w:tcPr>
          <w:p>
            <w:pPr>
              <w:pStyle w:val="TableContents"/>
              <w:bidi w:val="0"/>
              <w:spacing w:before="0" w:after="283"/>
              <w:jc w:val="left"/>
              <w:rPr/>
            </w:pPr>
            <w:r>
              <w:rPr/>
              <w:t>Company/branch/department hierarchy displays correctly after several nested subsidiaries and branches are created in sequence</w:t>
            </w:r>
          </w:p>
        </w:tc>
        <w:tc>
          <w:tcPr>
            <w:tcW w:w="954" w:type="dxa"/>
            <w:tcBorders/>
            <w:vAlign w:val="center"/>
          </w:tcPr>
          <w:p>
            <w:pPr>
              <w:pStyle w:val="TableContents"/>
              <w:bidi w:val="0"/>
              <w:spacing w:before="0" w:after="283"/>
              <w:jc w:val="left"/>
              <w:rPr/>
            </w:pPr>
            <w:r>
              <w:rPr/>
              <w:t>☐</w:t>
            </w:r>
          </w:p>
        </w:tc>
      </w:tr>
      <w:tr>
        <w:trPr/>
        <w:tc>
          <w:tcPr>
            <w:tcW w:w="10385" w:type="dxa"/>
            <w:tcBorders/>
            <w:vAlign w:val="center"/>
          </w:tcPr>
          <w:p>
            <w:pPr>
              <w:pStyle w:val="TableContents"/>
              <w:bidi w:val="0"/>
              <w:spacing w:before="0" w:after="283"/>
              <w:jc w:val="left"/>
              <w:rPr/>
            </w:pPr>
            <w:r>
              <w:rPr/>
              <w:t>A user's dashboard and accessible data update correctly after their role/scope is changed mid-session (not just at next login)</w:t>
            </w:r>
          </w:p>
        </w:tc>
        <w:tc>
          <w:tcPr>
            <w:tcW w:w="954" w:type="dxa"/>
            <w:tcBorders/>
            <w:vAlign w:val="center"/>
          </w:tcPr>
          <w:p>
            <w:pPr>
              <w:pStyle w:val="TableContents"/>
              <w:bidi w:val="0"/>
              <w:spacing w:before="0" w:after="283"/>
              <w:jc w:val="left"/>
              <w:rPr/>
            </w:pPr>
            <w:r>
              <w:rPr/>
              <w:t>☐</w:t>
            </w:r>
          </w:p>
        </w:tc>
      </w:tr>
      <w:tr>
        <w:trPr/>
        <w:tc>
          <w:tcPr>
            <w:tcW w:w="10385" w:type="dxa"/>
            <w:tcBorders/>
            <w:vAlign w:val="center"/>
          </w:tcPr>
          <w:p>
            <w:pPr>
              <w:pStyle w:val="TableContents"/>
              <w:bidi w:val="0"/>
              <w:spacing w:before="0" w:after="283"/>
              <w:jc w:val="left"/>
              <w:rPr/>
            </w:pPr>
            <w:r>
              <w:rPr/>
              <w:t>Uploading documents to multiple modules (employee, supplier) in the same session works without cross-contamination</w:t>
            </w:r>
          </w:p>
        </w:tc>
        <w:tc>
          <w:tcPr>
            <w:tcW w:w="954" w:type="dxa"/>
            <w:tcBorders/>
            <w:vAlign w:val="center"/>
          </w:tcPr>
          <w:p>
            <w:pPr>
              <w:pStyle w:val="TableContents"/>
              <w:bidi w:val="0"/>
              <w:spacing w:before="0" w:after="283"/>
              <w:jc w:val="left"/>
              <w:rPr/>
            </w:pPr>
            <w:r>
              <w:rPr/>
              <w:t>☐</w:t>
            </w:r>
          </w:p>
        </w:tc>
      </w:tr>
      <w:tr>
        <w:trPr/>
        <w:tc>
          <w:tcPr>
            <w:tcW w:w="10385" w:type="dxa"/>
            <w:tcBorders/>
            <w:vAlign w:val="center"/>
          </w:tcPr>
          <w:p>
            <w:pPr>
              <w:pStyle w:val="TableContents"/>
              <w:bidi w:val="0"/>
              <w:spacing w:before="0" w:after="283"/>
              <w:jc w:val="left"/>
              <w:rPr/>
            </w:pPr>
            <w:r>
              <w:rPr/>
              <w:t>Posting several journal entries in quick succession keeps the trial balance and audit trail consistent</w:t>
            </w:r>
          </w:p>
        </w:tc>
        <w:tc>
          <w:tcPr>
            <w:tcW w:w="954" w:type="dxa"/>
            <w:tcBorders/>
            <w:vAlign w:val="center"/>
          </w:tcPr>
          <w:p>
            <w:pPr>
              <w:pStyle w:val="TableContents"/>
              <w:bidi w:val="0"/>
              <w:spacing w:before="0" w:after="283"/>
              <w:jc w:val="left"/>
              <w:rPr/>
            </w:pPr>
            <w:r>
              <w:rPr/>
              <w:t>☐</w:t>
            </w:r>
          </w:p>
        </w:tc>
      </w:tr>
      <w:tr>
        <w:trPr/>
        <w:tc>
          <w:tcPr>
            <w:tcW w:w="10385" w:type="dxa"/>
            <w:tcBorders/>
            <w:vAlign w:val="center"/>
          </w:tcPr>
          <w:p>
            <w:pPr>
              <w:pStyle w:val="TableContents"/>
              <w:bidi w:val="0"/>
              <w:spacing w:before="0" w:after="283"/>
              <w:jc w:val="left"/>
              <w:rPr/>
            </w:pPr>
            <w:r>
              <w:rPr/>
              <w:t>Error messages throughout are specific and actionable, not generic ("Something went wrong")</w:t>
            </w:r>
          </w:p>
        </w:tc>
        <w:tc>
          <w:tcPr>
            <w:tcW w:w="954" w:type="dxa"/>
            <w:tcBorders/>
            <w:vAlign w:val="center"/>
          </w:tcPr>
          <w:p>
            <w:pPr>
              <w:pStyle w:val="TableContents"/>
              <w:bidi w:val="0"/>
              <w:spacing w:before="0" w:after="283"/>
              <w:jc w:val="left"/>
              <w:rPr/>
            </w:pPr>
            <w:r>
              <w:rPr/>
              <w:t>☐</w:t>
            </w:r>
          </w:p>
        </w:tc>
      </w:tr>
      <w:tr>
        <w:trPr/>
        <w:tc>
          <w:tcPr>
            <w:tcW w:w="10385" w:type="dxa"/>
            <w:tcBorders/>
            <w:vAlign w:val="center"/>
          </w:tcPr>
          <w:p>
            <w:pPr>
              <w:pStyle w:val="TableContents"/>
              <w:bidi w:val="0"/>
              <w:spacing w:before="0" w:after="283"/>
              <w:jc w:val="left"/>
              <w:rPr/>
            </w:pPr>
            <w:r>
              <w:rPr/>
              <w:t>No module is reachable by a role that should not have access to it, discovered by browsing rather than by a scripted attempt</w:t>
            </w:r>
          </w:p>
        </w:tc>
        <w:tc>
          <w:tcPr>
            <w:tcW w:w="954" w:type="dxa"/>
            <w:tcBorders/>
            <w:vAlign w:val="center"/>
          </w:tcPr>
          <w:p>
            <w:pPr>
              <w:pStyle w:val="TableContents"/>
              <w:bidi w:val="0"/>
              <w:spacing w:before="0" w:after="283"/>
              <w:jc w:val="left"/>
              <w:rPr/>
            </w:pPr>
            <w:r>
              <w:rPr/>
              <w:t>☐</w:t>
            </w:r>
          </w:p>
        </w:tc>
      </w:tr>
    </w:tbl>
    <w:p>
      <w:pPr>
        <w:pStyle w:val="Heading3"/>
        <w:bidi w:val="0"/>
        <w:jc w:val="left"/>
        <w:rPr/>
      </w:pPr>
      <w:r>
        <w:rPr/>
        <w:t xml:space="preserve">5.3 Operational Readiness Drills </w:t>
      </w:r>
      <w:r>
        <w:rPr>
          <w:i/>
        </w:rPr>
        <w:t>(the activity unique to Alpha testing)</w:t>
      </w:r>
    </w:p>
    <w:p>
      <w:pPr>
        <w:pStyle w:val="BodyText"/>
        <w:bidi w:val="0"/>
        <w:spacing w:before="150" w:after="150"/>
        <w:ind w:hanging="0" w:left="150" w:right="150"/>
        <w:jc w:val="left"/>
        <w:rPr>
          <w:sz w:val="21"/>
          <w:bdr w:val="single" w:sz="24" w:space="9" w:color="D98C00"/>
          <w:shd w:fill="FFF4E5" w:val="clear"/>
        </w:rPr>
      </w:pPr>
      <w:r>
        <w:rPr>
          <w:sz w:val="21"/>
          <w:bdr w:val="single" w:sz="24" w:space="9" w:color="D98C00"/>
          <w:shd w:fill="FFF4E5" w:val="clear"/>
        </w:rPr>
        <w:t>These drills deliberately break things on purpose, in staging, to prove the team can recover — something 12_UAT Plan's participants are never asked to do, and something 10_Test Plan's scripted test cases only partially cover (e.g. TC-032's Kafka consumer-downtime case).</w:t>
      </w:r>
    </w:p>
    <w:tbl>
      <w:tblPr>
        <w:tblW w:w="11339" w:type="dxa"/>
        <w:jc w:val="left"/>
        <w:tblInd w:w="28" w:type="dxa"/>
        <w:tblLayout w:type="fixed"/>
        <w:tblCellMar>
          <w:top w:w="28" w:type="dxa"/>
          <w:left w:w="28" w:type="dxa"/>
          <w:bottom w:w="28" w:type="dxa"/>
          <w:right w:w="28" w:type="dxa"/>
        </w:tblCellMar>
      </w:tblPr>
      <w:tblGrid>
        <w:gridCol w:w="4054"/>
        <w:gridCol w:w="5021"/>
        <w:gridCol w:w="2264"/>
      </w:tblGrid>
      <w:tr>
        <w:trPr/>
        <w:tc>
          <w:tcPr>
            <w:tcW w:w="4054" w:type="dxa"/>
            <w:tcBorders/>
            <w:vAlign w:val="center"/>
          </w:tcPr>
          <w:p>
            <w:pPr>
              <w:pStyle w:val="TableHeading"/>
              <w:suppressLineNumbers/>
              <w:shd w:fill="1F3864" w:val="clear"/>
              <w:bidi w:val="0"/>
              <w:spacing w:before="0" w:after="283"/>
              <w:jc w:val="left"/>
              <w:rPr/>
            </w:pPr>
            <w:r>
              <w:rPr/>
              <w:t>Drill</w:t>
            </w:r>
          </w:p>
        </w:tc>
        <w:tc>
          <w:tcPr>
            <w:tcW w:w="5021" w:type="dxa"/>
            <w:tcBorders/>
            <w:vAlign w:val="center"/>
          </w:tcPr>
          <w:p>
            <w:pPr>
              <w:pStyle w:val="TableHeading"/>
              <w:suppressLineNumbers/>
              <w:shd w:fill="1F3864" w:val="clear"/>
              <w:bidi w:val="0"/>
              <w:spacing w:before="0" w:after="283"/>
              <w:jc w:val="left"/>
              <w:rPr/>
            </w:pPr>
            <w:r>
              <w:rPr/>
              <w:t>Expected Outcome</w:t>
            </w:r>
          </w:p>
        </w:tc>
        <w:tc>
          <w:tcPr>
            <w:tcW w:w="2264" w:type="dxa"/>
            <w:tcBorders/>
            <w:vAlign w:val="center"/>
          </w:tcPr>
          <w:p>
            <w:pPr>
              <w:pStyle w:val="TableHeading"/>
              <w:suppressLineNumbers/>
              <w:shd w:fill="1F3864" w:val="clear"/>
              <w:bidi w:val="0"/>
              <w:spacing w:before="0" w:after="283"/>
              <w:jc w:val="left"/>
              <w:rPr/>
            </w:pPr>
            <w:r>
              <w:rPr/>
              <w:t>Reference</w:t>
            </w:r>
          </w:p>
        </w:tc>
      </w:tr>
      <w:tr>
        <w:trPr/>
        <w:tc>
          <w:tcPr>
            <w:tcW w:w="4054" w:type="dxa"/>
            <w:tcBorders/>
            <w:vAlign w:val="center"/>
          </w:tcPr>
          <w:p>
            <w:pPr>
              <w:pStyle w:val="TableContents"/>
              <w:bidi w:val="0"/>
              <w:spacing w:before="0" w:after="283"/>
              <w:jc w:val="left"/>
              <w:rPr/>
            </w:pPr>
            <w:r>
              <w:rPr/>
              <w:t>Force-stop one service's ECS task and observe recovery</w:t>
            </w:r>
          </w:p>
        </w:tc>
        <w:tc>
          <w:tcPr>
            <w:tcW w:w="5021" w:type="dxa"/>
            <w:tcBorders/>
            <w:vAlign w:val="center"/>
          </w:tcPr>
          <w:p>
            <w:pPr>
              <w:pStyle w:val="TableContents"/>
              <w:bidi w:val="0"/>
              <w:spacing w:before="0" w:after="283"/>
              <w:jc w:val="left"/>
              <w:rPr/>
            </w:pPr>
            <w:r>
              <w:rPr/>
              <w:t>ECS restarts the task automatically; health checks gate traffic; no manual intervention required</w:t>
            </w:r>
          </w:p>
        </w:tc>
        <w:tc>
          <w:tcPr>
            <w:tcW w:w="2264" w:type="dxa"/>
            <w:tcBorders/>
            <w:vAlign w:val="center"/>
          </w:tcPr>
          <w:p>
            <w:pPr>
              <w:pStyle w:val="TableContents"/>
              <w:bidi w:val="0"/>
              <w:spacing w:before="0" w:after="283"/>
              <w:jc w:val="left"/>
              <w:rPr/>
            </w:pPr>
            <w:r>
              <w:rPr/>
              <w:t>07_System Design Document, Section 11</w:t>
            </w:r>
          </w:p>
        </w:tc>
      </w:tr>
      <w:tr>
        <w:trPr/>
        <w:tc>
          <w:tcPr>
            <w:tcW w:w="4054" w:type="dxa"/>
            <w:tcBorders/>
            <w:vAlign w:val="center"/>
          </w:tcPr>
          <w:p>
            <w:pPr>
              <w:pStyle w:val="TableContents"/>
              <w:bidi w:val="0"/>
              <w:spacing w:before="0" w:after="283"/>
              <w:jc w:val="left"/>
              <w:rPr/>
            </w:pPr>
            <w:r>
              <w:rPr/>
              <w:t>Deploy a deliberately broken build to one service via the standard pipeline, then execute the documented rollback</w:t>
            </w:r>
          </w:p>
        </w:tc>
        <w:tc>
          <w:tcPr>
            <w:tcW w:w="5021" w:type="dxa"/>
            <w:tcBorders/>
            <w:vAlign w:val="center"/>
          </w:tcPr>
          <w:p>
            <w:pPr>
              <w:pStyle w:val="TableContents"/>
              <w:bidi w:val="0"/>
              <w:spacing w:before="0" w:after="283"/>
              <w:jc w:val="left"/>
              <w:rPr/>
            </w:pPr>
            <w:r>
              <w:rPr/>
              <w:t>Rollback succeeds using the procedure exactly as written in 11_Deployment Plan, Section 6 — not a variant the team improvises under pressure</w:t>
            </w:r>
          </w:p>
        </w:tc>
        <w:tc>
          <w:tcPr>
            <w:tcW w:w="2264" w:type="dxa"/>
            <w:tcBorders/>
            <w:vAlign w:val="center"/>
          </w:tcPr>
          <w:p>
            <w:pPr>
              <w:pStyle w:val="TableContents"/>
              <w:bidi w:val="0"/>
              <w:spacing w:before="0" w:after="283"/>
              <w:jc w:val="left"/>
              <w:rPr/>
            </w:pPr>
            <w:r>
              <w:rPr/>
              <w:t>11_Deployment Plan, Section 6</w:t>
            </w:r>
          </w:p>
        </w:tc>
      </w:tr>
      <w:tr>
        <w:trPr/>
        <w:tc>
          <w:tcPr>
            <w:tcW w:w="4054" w:type="dxa"/>
            <w:tcBorders/>
            <w:vAlign w:val="center"/>
          </w:tcPr>
          <w:p>
            <w:pPr>
              <w:pStyle w:val="TableContents"/>
              <w:bidi w:val="0"/>
              <w:spacing w:before="0" w:after="283"/>
              <w:jc w:val="left"/>
              <w:rPr/>
            </w:pPr>
            <w:r>
              <w:rPr/>
              <w:t>Trigger a synthetic error/alert condition (e.g. an intentionally failing health check) and confirm the team is notified</w:t>
            </w:r>
          </w:p>
        </w:tc>
        <w:tc>
          <w:tcPr>
            <w:tcW w:w="5021" w:type="dxa"/>
            <w:tcBorders/>
            <w:vAlign w:val="center"/>
          </w:tcPr>
          <w:p>
            <w:pPr>
              <w:pStyle w:val="TableContents"/>
              <w:bidi w:val="0"/>
              <w:spacing w:before="0" w:after="283"/>
              <w:jc w:val="left"/>
              <w:rPr/>
            </w:pPr>
            <w:r>
              <w:rPr/>
              <w:t>Prometheus/Grafana alert fires and reaches the team through the configured channel</w:t>
            </w:r>
          </w:p>
        </w:tc>
        <w:tc>
          <w:tcPr>
            <w:tcW w:w="2264" w:type="dxa"/>
            <w:tcBorders/>
            <w:vAlign w:val="center"/>
          </w:tcPr>
          <w:p>
            <w:pPr>
              <w:pStyle w:val="TableContents"/>
              <w:bidi w:val="0"/>
              <w:spacing w:before="0" w:after="283"/>
              <w:jc w:val="left"/>
              <w:rPr/>
            </w:pPr>
            <w:r>
              <w:rPr/>
              <w:t>07_System Design Document, Section 8</w:t>
            </w:r>
          </w:p>
        </w:tc>
      </w:tr>
      <w:tr>
        <w:trPr/>
        <w:tc>
          <w:tcPr>
            <w:tcW w:w="4054" w:type="dxa"/>
            <w:tcBorders/>
            <w:vAlign w:val="center"/>
          </w:tcPr>
          <w:p>
            <w:pPr>
              <w:pStyle w:val="TableContents"/>
              <w:bidi w:val="0"/>
              <w:spacing w:before="0" w:after="283"/>
              <w:jc w:val="left"/>
              <w:rPr/>
            </w:pPr>
            <w:r>
              <w:rPr/>
              <w:t>Follow one request's Jaeger trace across the API Gateway and at least two services</w:t>
            </w:r>
          </w:p>
        </w:tc>
        <w:tc>
          <w:tcPr>
            <w:tcW w:w="5021" w:type="dxa"/>
            <w:tcBorders/>
            <w:vAlign w:val="center"/>
          </w:tcPr>
          <w:p>
            <w:pPr>
              <w:pStyle w:val="TableContents"/>
              <w:bidi w:val="0"/>
              <w:spacing w:before="0" w:after="283"/>
              <w:jc w:val="left"/>
              <w:rPr/>
            </w:pPr>
            <w:r>
              <w:rPr/>
              <w:t>The full request path is visible and readable end-to-end</w:t>
            </w:r>
          </w:p>
        </w:tc>
        <w:tc>
          <w:tcPr>
            <w:tcW w:w="2264" w:type="dxa"/>
            <w:tcBorders/>
            <w:vAlign w:val="center"/>
          </w:tcPr>
          <w:p>
            <w:pPr>
              <w:pStyle w:val="TableContents"/>
              <w:bidi w:val="0"/>
              <w:spacing w:before="0" w:after="283"/>
              <w:jc w:val="left"/>
              <w:rPr/>
            </w:pPr>
            <w:r>
              <w:rPr/>
              <w:t>07_System Design Document, Section 8</w:t>
            </w:r>
          </w:p>
        </w:tc>
      </w:tr>
      <w:tr>
        <w:trPr/>
        <w:tc>
          <w:tcPr>
            <w:tcW w:w="4054" w:type="dxa"/>
            <w:tcBorders/>
            <w:vAlign w:val="center"/>
          </w:tcPr>
          <w:p>
            <w:pPr>
              <w:pStyle w:val="TableContents"/>
              <w:bidi w:val="0"/>
              <w:spacing w:before="0" w:after="283"/>
              <w:jc w:val="left"/>
              <w:rPr/>
            </w:pPr>
            <w:r>
              <w:rPr/>
              <w:t>Search the EFK stack for logs from all eight services during the drills above</w:t>
            </w:r>
          </w:p>
        </w:tc>
        <w:tc>
          <w:tcPr>
            <w:tcW w:w="5021" w:type="dxa"/>
            <w:tcBorders/>
            <w:vAlign w:val="center"/>
          </w:tcPr>
          <w:p>
            <w:pPr>
              <w:pStyle w:val="TableContents"/>
              <w:bidi w:val="0"/>
              <w:spacing w:before="0" w:after="283"/>
              <w:jc w:val="left"/>
              <w:rPr/>
            </w:pPr>
            <w:r>
              <w:rPr/>
              <w:t>All services' logs are present and searchable in one place</w:t>
            </w:r>
          </w:p>
        </w:tc>
        <w:tc>
          <w:tcPr>
            <w:tcW w:w="2264" w:type="dxa"/>
            <w:tcBorders/>
            <w:vAlign w:val="center"/>
          </w:tcPr>
          <w:p>
            <w:pPr>
              <w:pStyle w:val="TableContents"/>
              <w:bidi w:val="0"/>
              <w:spacing w:before="0" w:after="283"/>
              <w:jc w:val="left"/>
              <w:rPr/>
            </w:pPr>
            <w:r>
              <w:rPr/>
              <w:t>07_System Design Document, Section 8</w:t>
            </w:r>
          </w:p>
        </w:tc>
      </w:tr>
      <w:tr>
        <w:trPr/>
        <w:tc>
          <w:tcPr>
            <w:tcW w:w="4054" w:type="dxa"/>
            <w:tcBorders/>
            <w:vAlign w:val="center"/>
          </w:tcPr>
          <w:p>
            <w:pPr>
              <w:pStyle w:val="TableContents"/>
              <w:bidi w:val="0"/>
              <w:spacing w:before="0" w:after="283"/>
              <w:jc w:val="left"/>
              <w:rPr/>
            </w:pPr>
            <w:r>
              <w:rPr/>
              <w:t>Re-run the backup/restore drill (10_Test Plan, TC-027) in the fully integrated environment</w:t>
            </w:r>
          </w:p>
        </w:tc>
        <w:tc>
          <w:tcPr>
            <w:tcW w:w="5021" w:type="dxa"/>
            <w:tcBorders/>
            <w:vAlign w:val="center"/>
          </w:tcPr>
          <w:p>
            <w:pPr>
              <w:pStyle w:val="TableContents"/>
              <w:bidi w:val="0"/>
              <w:spacing w:before="0" w:after="283"/>
              <w:jc w:val="left"/>
              <w:rPr/>
            </w:pPr>
            <w:r>
              <w:rPr/>
              <w:t>Restoration succeeds with all services' data intact</w:t>
            </w:r>
          </w:p>
        </w:tc>
        <w:tc>
          <w:tcPr>
            <w:tcW w:w="2264" w:type="dxa"/>
            <w:tcBorders/>
            <w:vAlign w:val="center"/>
          </w:tcPr>
          <w:p>
            <w:pPr>
              <w:pStyle w:val="TableContents"/>
              <w:bidi w:val="0"/>
              <w:spacing w:before="0" w:after="283"/>
              <w:jc w:val="left"/>
              <w:rPr/>
            </w:pPr>
            <w:r>
              <w:rPr/>
              <w:t>10_Test Plan, TC-027</w:t>
            </w:r>
          </w:p>
        </w:tc>
      </w:tr>
      <w:tr>
        <w:trPr/>
        <w:tc>
          <w:tcPr>
            <w:tcW w:w="4054" w:type="dxa"/>
            <w:tcBorders/>
            <w:vAlign w:val="center"/>
          </w:tcPr>
          <w:p>
            <w:pPr>
              <w:pStyle w:val="TableContents"/>
              <w:bidi w:val="0"/>
              <w:spacing w:before="0" w:after="283"/>
              <w:jc w:val="left"/>
              <w:rPr/>
            </w:pPr>
            <w:r>
              <w:rPr/>
              <w:t>Stop the Audit &amp; Reporting Service's Kafka consumer, perform actions in three other services, then restart it</w:t>
            </w:r>
          </w:p>
        </w:tc>
        <w:tc>
          <w:tcPr>
            <w:tcW w:w="5021" w:type="dxa"/>
            <w:tcBorders/>
            <w:vAlign w:val="center"/>
          </w:tcPr>
          <w:p>
            <w:pPr>
              <w:pStyle w:val="TableContents"/>
              <w:bidi w:val="0"/>
              <w:spacing w:before="0" w:after="283"/>
              <w:jc w:val="left"/>
              <w:rPr/>
            </w:pPr>
            <w:r>
              <w:rPr/>
              <w:t>All queued events are processed on recovery with no data loss</w:t>
            </w:r>
          </w:p>
        </w:tc>
        <w:tc>
          <w:tcPr>
            <w:tcW w:w="2264" w:type="dxa"/>
            <w:tcBorders/>
            <w:vAlign w:val="center"/>
          </w:tcPr>
          <w:p>
            <w:pPr>
              <w:pStyle w:val="TableContents"/>
              <w:bidi w:val="0"/>
              <w:spacing w:before="0" w:after="283"/>
              <w:jc w:val="left"/>
              <w:rPr/>
            </w:pPr>
            <w:r>
              <w:rPr/>
              <w:t>10_Test Plan, TC-032</w:t>
            </w:r>
          </w:p>
        </w:tc>
      </w:tr>
    </w:tbl>
    <w:p>
      <w:pPr>
        <w:pStyle w:val="Heading3"/>
        <w:bidi w:val="0"/>
        <w:jc w:val="left"/>
        <w:rPr/>
      </w:pPr>
      <w:r>
        <w:rPr/>
        <w:t>5.4 Internal Access-Control Spot-Check</w:t>
      </w:r>
    </w:p>
    <w:p>
      <w:pPr>
        <w:pStyle w:val="BodyText"/>
        <w:numPr>
          <w:ilvl w:val="0"/>
          <w:numId w:val="2"/>
        </w:numPr>
        <w:tabs>
          <w:tab w:val="clear" w:pos="1134"/>
          <w:tab w:val="left" w:pos="709" w:leader="none"/>
        </w:tabs>
        <w:bidi w:val="0"/>
        <w:spacing w:before="0" w:after="0"/>
        <w:ind w:hanging="283" w:left="709"/>
        <w:jc w:val="left"/>
        <w:rPr/>
      </w:pPr>
      <w:r>
        <w:rPr/>
        <w:t xml:space="preserve">Manually attempt cross-company access using at least two different test accounts scoped to different companies — confirm denial and audit logging (BR-01, TC-010). </w:t>
      </w:r>
    </w:p>
    <w:p>
      <w:pPr>
        <w:pStyle w:val="BodyText"/>
        <w:numPr>
          <w:ilvl w:val="0"/>
          <w:numId w:val="2"/>
        </w:numPr>
        <w:tabs>
          <w:tab w:val="clear" w:pos="1134"/>
          <w:tab w:val="left" w:pos="709" w:leader="none"/>
        </w:tabs>
        <w:bidi w:val="0"/>
        <w:spacing w:before="0" w:after="0"/>
        <w:ind w:hanging="283" w:left="709"/>
        <w:jc w:val="left"/>
        <w:rPr/>
      </w:pPr>
      <w:r>
        <w:rPr/>
        <w:t xml:space="preserve">Manually attempt to reach an admin-only function (e.g. user role assignment) using a non-admin account. </w:t>
      </w:r>
    </w:p>
    <w:p>
      <w:pPr>
        <w:pStyle w:val="BodyText"/>
        <w:numPr>
          <w:ilvl w:val="0"/>
          <w:numId w:val="2"/>
        </w:numPr>
        <w:tabs>
          <w:tab w:val="clear" w:pos="1134"/>
          <w:tab w:val="left" w:pos="709" w:leader="none"/>
        </w:tabs>
        <w:bidi w:val="0"/>
        <w:ind w:hanging="283" w:left="709"/>
        <w:jc w:val="left"/>
        <w:rPr/>
      </w:pPr>
      <w:r>
        <w:rPr/>
        <w:t xml:space="preserve">Confirm bank/tax fields (Employee, Supplier) are masked for an account that lacks the elevated permission (FR-USER-08). </w:t>
      </w:r>
    </w:p>
    <w:p>
      <w:pPr>
        <w:pStyle w:val="Heading3"/>
        <w:bidi w:val="0"/>
        <w:jc w:val="left"/>
        <w:rPr/>
      </w:pPr>
      <w:r>
        <w:rPr/>
        <w:t>5.5 Light Load Smoke Pass</w:t>
      </w:r>
    </w:p>
    <w:p>
      <w:pPr>
        <w:pStyle w:val="BodyText"/>
        <w:bidi w:val="0"/>
        <w:jc w:val="left"/>
        <w:rPr/>
      </w:pPr>
      <w:r>
        <w:rPr/>
        <w:t>A brief, informal multi-user simulation (several testers using the system concurrently across modules) to catch anything that only surfaces under concurrent use — not a substitute for the formal performance testing in 10_Test Plan, Section 3.6, which requires a confirmed target load the Group has not yet provided.</w:t>
      </w:r>
    </w:p>
    <w:p>
      <w:pPr>
        <w:pStyle w:val="Heading2"/>
        <w:bidi w:val="0"/>
        <w:jc w:val="left"/>
        <w:rPr/>
      </w:pPr>
      <w:r>
        <w:rPr/>
        <w:t>6. Entry and Exit Criteria</w:t>
      </w:r>
    </w:p>
    <w:tbl>
      <w:tblPr>
        <w:tblW w:w="11339" w:type="dxa"/>
        <w:jc w:val="left"/>
        <w:tblInd w:w="28" w:type="dxa"/>
        <w:tblLayout w:type="fixed"/>
        <w:tblCellMar>
          <w:top w:w="28" w:type="dxa"/>
          <w:left w:w="28" w:type="dxa"/>
          <w:bottom w:w="28" w:type="dxa"/>
          <w:right w:w="28" w:type="dxa"/>
        </w:tblCellMar>
      </w:tblPr>
      <w:tblGrid>
        <w:gridCol w:w="5658"/>
        <w:gridCol w:w="5681"/>
      </w:tblGrid>
      <w:tr>
        <w:trPr/>
        <w:tc>
          <w:tcPr>
            <w:tcW w:w="5658" w:type="dxa"/>
            <w:tcBorders/>
            <w:vAlign w:val="center"/>
          </w:tcPr>
          <w:p>
            <w:pPr>
              <w:pStyle w:val="TableHeading"/>
              <w:suppressLineNumbers/>
              <w:shd w:fill="1F3864" w:val="clear"/>
              <w:bidi w:val="0"/>
              <w:spacing w:before="0" w:after="283"/>
              <w:jc w:val="left"/>
              <w:rPr/>
            </w:pPr>
            <w:r>
              <w:rPr/>
              <w:t>Entry Criteria</w:t>
            </w:r>
          </w:p>
        </w:tc>
        <w:tc>
          <w:tcPr>
            <w:tcW w:w="5681" w:type="dxa"/>
            <w:tcBorders/>
            <w:vAlign w:val="center"/>
          </w:tcPr>
          <w:p>
            <w:pPr>
              <w:pStyle w:val="TableHeading"/>
              <w:suppressLineNumbers/>
              <w:shd w:fill="1F3864" w:val="clear"/>
              <w:bidi w:val="0"/>
              <w:spacing w:before="0" w:after="283"/>
              <w:jc w:val="left"/>
              <w:rPr/>
            </w:pPr>
            <w:r>
              <w:rPr/>
              <w:t>Exit Criteria</w:t>
            </w:r>
          </w:p>
        </w:tc>
      </w:tr>
      <w:tr>
        <w:trPr/>
        <w:tc>
          <w:tcPr>
            <w:tcW w:w="5658" w:type="dxa"/>
            <w:tcBorders/>
            <w:vAlign w:val="center"/>
          </w:tcPr>
          <w:p>
            <w:pPr>
              <w:pStyle w:val="TableContents"/>
              <w:bidi w:val="0"/>
              <w:spacing w:before="0" w:after="283"/>
              <w:jc w:val="left"/>
              <w:rPr/>
            </w:pPr>
            <w:r>
              <w:rPr/>
              <w:t>All Phase 1 services deployed together in staging; contract testing (10_Test Plan, Section 3.3) passing; system testing (Section 3.4) substantially complete</w:t>
            </w:r>
          </w:p>
        </w:tc>
        <w:tc>
          <w:tcPr>
            <w:tcW w:w="5681" w:type="dxa"/>
            <w:tcBorders/>
            <w:vAlign w:val="center"/>
          </w:tcPr>
          <w:p>
            <w:pPr>
              <w:pStyle w:val="TableContents"/>
              <w:bidi w:val="0"/>
              <w:spacing w:before="0" w:after="283"/>
              <w:jc w:val="left"/>
              <w:rPr/>
            </w:pPr>
            <w:r>
              <w:rPr/>
              <w:t>All Section 5.1 regression cases pass in the integrated environment</w:t>
            </w:r>
          </w:p>
        </w:tc>
      </w:tr>
      <w:tr>
        <w:trPr/>
        <w:tc>
          <w:tcPr>
            <w:tcW w:w="5658" w:type="dxa"/>
            <w:tcBorders/>
            <w:vAlign w:val="center"/>
          </w:tcPr>
          <w:p>
            <w:pPr>
              <w:pStyle w:val="TableContents"/>
              <w:bidi w:val="0"/>
              <w:spacing w:before="0" w:after="283"/>
              <w:jc w:val="left"/>
              <w:rPr/>
            </w:pPr>
            <w:r>
              <w:rPr/>
              <w:t>—</w:t>
            </w:r>
          </w:p>
        </w:tc>
        <w:tc>
          <w:tcPr>
            <w:tcW w:w="5681" w:type="dxa"/>
            <w:tcBorders/>
            <w:vAlign w:val="center"/>
          </w:tcPr>
          <w:p>
            <w:pPr>
              <w:pStyle w:val="TableContents"/>
              <w:bidi w:val="0"/>
              <w:spacing w:before="0" w:after="283"/>
              <w:jc w:val="left"/>
              <w:rPr/>
            </w:pPr>
            <w:r>
              <w:rPr/>
              <w:t>Section 5.2 exploratory checklist items all pass, or any failures are triaged as Medium/Low (Section 7) with no open Critical/High</w:t>
            </w:r>
          </w:p>
        </w:tc>
      </w:tr>
      <w:tr>
        <w:trPr/>
        <w:tc>
          <w:tcPr>
            <w:tcW w:w="5658" w:type="dxa"/>
            <w:tcBorders/>
            <w:vAlign w:val="center"/>
          </w:tcPr>
          <w:p>
            <w:pPr>
              <w:pStyle w:val="TableContents"/>
              <w:bidi w:val="0"/>
              <w:spacing w:before="0" w:after="283"/>
              <w:jc w:val="left"/>
              <w:rPr/>
            </w:pPr>
            <w:r>
              <w:rPr/>
              <w:t>—</w:t>
            </w:r>
          </w:p>
        </w:tc>
        <w:tc>
          <w:tcPr>
            <w:tcW w:w="5681" w:type="dxa"/>
            <w:tcBorders/>
            <w:vAlign w:val="center"/>
          </w:tcPr>
          <w:p>
            <w:pPr>
              <w:pStyle w:val="TableContents"/>
              <w:bidi w:val="0"/>
              <w:spacing w:before="0" w:after="283"/>
              <w:jc w:val="left"/>
              <w:rPr/>
            </w:pPr>
            <w:r>
              <w:rPr/>
              <w:t>All Section 5.3 operational drills succeed using the documented procedures, without improvisation</w:t>
            </w:r>
          </w:p>
        </w:tc>
      </w:tr>
      <w:tr>
        <w:trPr/>
        <w:tc>
          <w:tcPr>
            <w:tcW w:w="5658" w:type="dxa"/>
            <w:tcBorders/>
            <w:vAlign w:val="center"/>
          </w:tcPr>
          <w:p>
            <w:pPr>
              <w:pStyle w:val="TableContents"/>
              <w:bidi w:val="0"/>
              <w:spacing w:before="0" w:after="283"/>
              <w:jc w:val="left"/>
              <w:rPr/>
            </w:pPr>
            <w:r>
              <w:rPr/>
              <w:t>—</w:t>
            </w:r>
          </w:p>
        </w:tc>
        <w:tc>
          <w:tcPr>
            <w:tcW w:w="5681" w:type="dxa"/>
            <w:tcBorders/>
            <w:vAlign w:val="center"/>
          </w:tcPr>
          <w:p>
            <w:pPr>
              <w:pStyle w:val="TableContents"/>
              <w:bidi w:val="0"/>
              <w:spacing w:before="0" w:after="283"/>
              <w:jc w:val="left"/>
              <w:rPr/>
            </w:pPr>
            <w:r>
              <w:rPr/>
              <w:t>Section 5.4 access-control spot-checks find no bypass</w:t>
            </w:r>
          </w:p>
        </w:tc>
      </w:tr>
      <w:tr>
        <w:trPr/>
        <w:tc>
          <w:tcPr>
            <w:tcW w:w="5658" w:type="dxa"/>
            <w:tcBorders/>
            <w:vAlign w:val="center"/>
          </w:tcPr>
          <w:p>
            <w:pPr>
              <w:pStyle w:val="TableContents"/>
              <w:bidi w:val="0"/>
              <w:spacing w:before="0" w:after="283"/>
              <w:jc w:val="left"/>
              <w:rPr/>
            </w:pPr>
            <w:r>
              <w:rPr/>
              <w:t>—</w:t>
            </w:r>
          </w:p>
        </w:tc>
        <w:tc>
          <w:tcPr>
            <w:tcW w:w="5681" w:type="dxa"/>
            <w:tcBorders/>
            <w:vAlign w:val="center"/>
          </w:tcPr>
          <w:p>
            <w:pPr>
              <w:pStyle w:val="TableContents"/>
              <w:bidi w:val="0"/>
              <w:spacing w:before="0" w:after="283"/>
              <w:jc w:val="left"/>
              <w:rPr/>
            </w:pPr>
            <w:r>
              <w:rPr/>
              <w:t>Staging remains stable — no new Critical defect — for at least one week following the above, which is also 12_UAT Plan's stated entry condition</w:t>
            </w:r>
          </w:p>
        </w:tc>
      </w:tr>
    </w:tbl>
    <w:p>
      <w:pPr>
        <w:pStyle w:val="Heading2"/>
        <w:bidi w:val="0"/>
        <w:jc w:val="left"/>
        <w:rPr/>
      </w:pPr>
      <w:r>
        <w:rPr/>
        <w:t>7. Issue Severity and Handling</w:t>
      </w:r>
    </w:p>
    <w:p>
      <w:pPr>
        <w:pStyle w:val="BodyText"/>
        <w:bidi w:val="0"/>
        <w:jc w:val="left"/>
        <w:rPr/>
      </w:pPr>
      <w:r>
        <w:rPr/>
        <w:t xml:space="preserve">Uses the same scale as 10_Test Plan, Section 9 (Critical/High/Medium/Low), so Alpha findings feed the same fix process as any other test level. A Critical finding during an operational drill (Section 5.3) — e.g. rollback not working as documented — is treated as Critical for </w:t>
      </w:r>
      <w:r>
        <w:rPr>
          <w:i/>
        </w:rPr>
        <w:t>this plan's</w:t>
      </w:r>
      <w:r>
        <w:rPr/>
        <w:t xml:space="preserve"> exit criteria even if it does not affect a specific functional requirement, since 11_Deployment Plan's readiness gate depends on rollback actually working.</w:t>
      </w:r>
    </w:p>
    <w:p>
      <w:pPr>
        <w:pStyle w:val="Heading2"/>
        <w:bidi w:val="0"/>
        <w:jc w:val="left"/>
        <w:rPr/>
      </w:pPr>
      <w:r>
        <w:rPr/>
        <w:t>8. Schedule</w:t>
      </w:r>
    </w:p>
    <w:p>
      <w:pPr>
        <w:pStyle w:val="BodyText"/>
        <w:bidi w:val="0"/>
        <w:jc w:val="left"/>
        <w:rPr/>
      </w:pPr>
      <w:r>
        <w:rPr/>
        <w:t>Runs at the boundary of 10_Test Plan's Sprint 7 (system/security/performance testing) and Sprint 8 (where UAT begins) — Alpha testing is the last activity before department representatives are brought in, and its exit criteria is UAT's entry criteria (Section 1). If Alpha testing surfaces a Critical defect, the Sprint 8 UAT start date moves rather than proceeding on schedule with known Critical issues live in staging.</w:t>
      </w:r>
    </w:p>
    <w:p>
      <w:pPr>
        <w:pStyle w:val="Heading2"/>
        <w:bidi w:val="0"/>
        <w:jc w:val="left"/>
        <w:rPr/>
      </w:pPr>
      <w:r>
        <w:rPr/>
        <w:t>9. Alpha Test Log</w:t>
      </w:r>
    </w:p>
    <w:tbl>
      <w:tblPr>
        <w:tblW w:w="9494" w:type="dxa"/>
        <w:jc w:val="left"/>
        <w:tblInd w:w="28" w:type="dxa"/>
        <w:tblLayout w:type="fixed"/>
        <w:tblCellMar>
          <w:top w:w="28" w:type="dxa"/>
          <w:left w:w="28" w:type="dxa"/>
          <w:bottom w:w="28" w:type="dxa"/>
          <w:right w:w="28" w:type="dxa"/>
        </w:tblCellMar>
      </w:tblPr>
      <w:tblGrid>
        <w:gridCol w:w="1371"/>
        <w:gridCol w:w="8123"/>
      </w:tblGrid>
      <w:tr>
        <w:trPr/>
        <w:tc>
          <w:tcPr>
            <w:tcW w:w="1371" w:type="dxa"/>
            <w:tcBorders/>
            <w:vAlign w:val="center"/>
          </w:tcPr>
          <w:p>
            <w:pPr>
              <w:pStyle w:val="TableHeading"/>
              <w:suppressLineNumbers/>
              <w:shd w:fill="1F3864" w:val="clear"/>
              <w:bidi w:val="0"/>
              <w:spacing w:before="0" w:after="283"/>
              <w:jc w:val="left"/>
              <w:rPr/>
            </w:pPr>
            <w:r>
              <w:rPr/>
              <w:t>Field</w:t>
            </w:r>
          </w:p>
        </w:tc>
        <w:tc>
          <w:tcPr>
            <w:tcW w:w="8123" w:type="dxa"/>
            <w:tcBorders/>
            <w:vAlign w:val="center"/>
          </w:tcPr>
          <w:p>
            <w:pPr>
              <w:pStyle w:val="TableHeading"/>
              <w:suppressLineNumbers/>
              <w:shd w:fill="1F3864" w:val="clear"/>
              <w:bidi w:val="0"/>
              <w:spacing w:before="0" w:after="283"/>
              <w:jc w:val="left"/>
              <w:rPr/>
            </w:pPr>
            <w:r>
              <w:rPr/>
              <w:t>Description</w:t>
            </w:r>
          </w:p>
        </w:tc>
      </w:tr>
      <w:tr>
        <w:trPr/>
        <w:tc>
          <w:tcPr>
            <w:tcW w:w="1371" w:type="dxa"/>
            <w:tcBorders/>
            <w:vAlign w:val="center"/>
          </w:tcPr>
          <w:p>
            <w:pPr>
              <w:pStyle w:val="TableContents"/>
              <w:bidi w:val="0"/>
              <w:spacing w:before="0" w:after="283"/>
              <w:jc w:val="left"/>
              <w:rPr/>
            </w:pPr>
            <w:r>
              <w:rPr/>
              <w:t>Finding ID</w:t>
            </w:r>
          </w:p>
        </w:tc>
        <w:tc>
          <w:tcPr>
            <w:tcW w:w="8123" w:type="dxa"/>
            <w:tcBorders/>
            <w:vAlign w:val="center"/>
          </w:tcPr>
          <w:p>
            <w:pPr>
              <w:pStyle w:val="TableContents"/>
              <w:bidi w:val="0"/>
              <w:spacing w:before="0" w:after="283"/>
              <w:jc w:val="left"/>
              <w:rPr/>
            </w:pPr>
            <w:r>
              <w:rPr/>
              <w:t>Sequential, e.g. ALPHA-001</w:t>
            </w:r>
          </w:p>
        </w:tc>
      </w:tr>
      <w:tr>
        <w:trPr/>
        <w:tc>
          <w:tcPr>
            <w:tcW w:w="1371" w:type="dxa"/>
            <w:tcBorders/>
            <w:vAlign w:val="center"/>
          </w:tcPr>
          <w:p>
            <w:pPr>
              <w:pStyle w:val="TableContents"/>
              <w:bidi w:val="0"/>
              <w:spacing w:before="0" w:after="283"/>
              <w:jc w:val="left"/>
              <w:rPr/>
            </w:pPr>
            <w:r>
              <w:rPr/>
              <w:t>Activity</w:t>
            </w:r>
          </w:p>
        </w:tc>
        <w:tc>
          <w:tcPr>
            <w:tcW w:w="8123" w:type="dxa"/>
            <w:tcBorders/>
            <w:vAlign w:val="center"/>
          </w:tcPr>
          <w:p>
            <w:pPr>
              <w:pStyle w:val="TableContents"/>
              <w:bidi w:val="0"/>
              <w:spacing w:before="0" w:after="283"/>
              <w:jc w:val="left"/>
              <w:rPr/>
            </w:pPr>
            <w:r>
              <w:rPr/>
              <w:t>Which Section 5 activity surfaced it (regression / exploratory / drill / access-check / load)</w:t>
            </w:r>
          </w:p>
        </w:tc>
      </w:tr>
      <w:tr>
        <w:trPr/>
        <w:tc>
          <w:tcPr>
            <w:tcW w:w="1371" w:type="dxa"/>
            <w:tcBorders/>
            <w:vAlign w:val="center"/>
          </w:tcPr>
          <w:p>
            <w:pPr>
              <w:pStyle w:val="TableContents"/>
              <w:bidi w:val="0"/>
              <w:spacing w:before="0" w:after="283"/>
              <w:jc w:val="left"/>
              <w:rPr/>
            </w:pPr>
            <w:r>
              <w:rPr/>
              <w:t>Description</w:t>
            </w:r>
          </w:p>
        </w:tc>
        <w:tc>
          <w:tcPr>
            <w:tcW w:w="8123" w:type="dxa"/>
            <w:tcBorders/>
            <w:vAlign w:val="center"/>
          </w:tcPr>
          <w:p>
            <w:pPr>
              <w:pStyle w:val="TableContents"/>
              <w:bidi w:val="0"/>
              <w:spacing w:before="0" w:after="283"/>
              <w:jc w:val="left"/>
              <w:rPr/>
            </w:pPr>
            <w:r>
              <w:rPr/>
              <w:t>What was observed vs. expected</w:t>
            </w:r>
          </w:p>
        </w:tc>
      </w:tr>
      <w:tr>
        <w:trPr/>
        <w:tc>
          <w:tcPr>
            <w:tcW w:w="1371" w:type="dxa"/>
            <w:tcBorders/>
            <w:vAlign w:val="center"/>
          </w:tcPr>
          <w:p>
            <w:pPr>
              <w:pStyle w:val="TableContents"/>
              <w:bidi w:val="0"/>
              <w:spacing w:before="0" w:after="283"/>
              <w:jc w:val="left"/>
              <w:rPr/>
            </w:pPr>
            <w:r>
              <w:rPr/>
              <w:t>Severity</w:t>
            </w:r>
          </w:p>
        </w:tc>
        <w:tc>
          <w:tcPr>
            <w:tcW w:w="8123" w:type="dxa"/>
            <w:tcBorders/>
            <w:vAlign w:val="center"/>
          </w:tcPr>
          <w:p>
            <w:pPr>
              <w:pStyle w:val="TableContents"/>
              <w:bidi w:val="0"/>
              <w:spacing w:before="0" w:after="283"/>
              <w:jc w:val="left"/>
              <w:rPr/>
            </w:pPr>
            <w:r>
              <w:rPr/>
              <w:t>Per Section 7</w:t>
            </w:r>
          </w:p>
        </w:tc>
      </w:tr>
      <w:tr>
        <w:trPr/>
        <w:tc>
          <w:tcPr>
            <w:tcW w:w="1371" w:type="dxa"/>
            <w:tcBorders/>
            <w:vAlign w:val="center"/>
          </w:tcPr>
          <w:p>
            <w:pPr>
              <w:pStyle w:val="TableContents"/>
              <w:bidi w:val="0"/>
              <w:spacing w:before="0" w:after="283"/>
              <w:jc w:val="left"/>
              <w:rPr/>
            </w:pPr>
            <w:r>
              <w:rPr/>
              <w:t>Status</w:t>
            </w:r>
          </w:p>
        </w:tc>
        <w:tc>
          <w:tcPr>
            <w:tcW w:w="8123" w:type="dxa"/>
            <w:tcBorders/>
            <w:vAlign w:val="center"/>
          </w:tcPr>
          <w:p>
            <w:pPr>
              <w:pStyle w:val="TableContents"/>
              <w:bidi w:val="0"/>
              <w:spacing w:before="0" w:after="283"/>
              <w:jc w:val="left"/>
              <w:rPr/>
            </w:pPr>
            <w:r>
              <w:rPr/>
              <w:t>Open / Fixed / Re-verified / Deferred</w:t>
            </w:r>
          </w:p>
        </w:tc>
      </w:tr>
      <w:tr>
        <w:trPr/>
        <w:tc>
          <w:tcPr>
            <w:tcW w:w="1371" w:type="dxa"/>
            <w:tcBorders/>
            <w:vAlign w:val="center"/>
          </w:tcPr>
          <w:p>
            <w:pPr>
              <w:pStyle w:val="TableContents"/>
              <w:bidi w:val="0"/>
              <w:spacing w:before="0" w:after="283"/>
              <w:jc w:val="left"/>
              <w:rPr/>
            </w:pPr>
            <w:r>
              <w:rPr/>
              <w:t>Re-verified by</w:t>
            </w:r>
          </w:p>
        </w:tc>
        <w:tc>
          <w:tcPr>
            <w:tcW w:w="8123" w:type="dxa"/>
            <w:tcBorders/>
            <w:vAlign w:val="center"/>
          </w:tcPr>
          <w:p>
            <w:pPr>
              <w:pStyle w:val="TableContents"/>
              <w:bidi w:val="0"/>
              <w:spacing w:before="0" w:after="283"/>
              <w:jc w:val="left"/>
              <w:rPr/>
            </w:pPr>
            <w:r>
              <w:rPr/>
              <w:t>Must be someone other than the fixer, consistent with 10_Test Plan's review discipline</w:t>
            </w:r>
          </w:p>
        </w:tc>
      </w:tr>
    </w:tbl>
    <w:p>
      <w:pPr>
        <w:pStyle w:val="Heading2"/>
        <w:bidi w:val="0"/>
        <w:jc w:val="left"/>
        <w:rPr/>
      </w:pPr>
      <w:r>
        <w:rPr/>
        <w:t>10. Risks to Alpha Testing</w:t>
      </w:r>
    </w:p>
    <w:tbl>
      <w:tblPr>
        <w:tblW w:w="11339" w:type="dxa"/>
        <w:jc w:val="left"/>
        <w:tblInd w:w="28" w:type="dxa"/>
        <w:tblLayout w:type="fixed"/>
        <w:tblCellMar>
          <w:top w:w="28" w:type="dxa"/>
          <w:left w:w="28" w:type="dxa"/>
          <w:bottom w:w="28" w:type="dxa"/>
          <w:right w:w="28" w:type="dxa"/>
        </w:tblCellMar>
      </w:tblPr>
      <w:tblGrid>
        <w:gridCol w:w="4695"/>
        <w:gridCol w:w="6644"/>
      </w:tblGrid>
      <w:tr>
        <w:trPr/>
        <w:tc>
          <w:tcPr>
            <w:tcW w:w="4695" w:type="dxa"/>
            <w:tcBorders/>
            <w:vAlign w:val="center"/>
          </w:tcPr>
          <w:p>
            <w:pPr>
              <w:pStyle w:val="TableHeading"/>
              <w:suppressLineNumbers/>
              <w:shd w:fill="1F3864" w:val="clear"/>
              <w:bidi w:val="0"/>
              <w:spacing w:before="0" w:after="283"/>
              <w:jc w:val="left"/>
              <w:rPr/>
            </w:pPr>
            <w:r>
              <w:rPr/>
              <w:t>Risk</w:t>
            </w:r>
          </w:p>
        </w:tc>
        <w:tc>
          <w:tcPr>
            <w:tcW w:w="6644" w:type="dxa"/>
            <w:tcBorders/>
            <w:vAlign w:val="center"/>
          </w:tcPr>
          <w:p>
            <w:pPr>
              <w:pStyle w:val="TableHeading"/>
              <w:suppressLineNumbers/>
              <w:shd w:fill="1F3864" w:val="clear"/>
              <w:bidi w:val="0"/>
              <w:spacing w:before="0" w:after="283"/>
              <w:jc w:val="left"/>
              <w:rPr/>
            </w:pPr>
            <w:r>
              <w:rPr/>
              <w:t>Mitigation</w:t>
            </w:r>
          </w:p>
        </w:tc>
      </w:tr>
      <w:tr>
        <w:trPr/>
        <w:tc>
          <w:tcPr>
            <w:tcW w:w="4695" w:type="dxa"/>
            <w:tcBorders/>
            <w:vAlign w:val="center"/>
          </w:tcPr>
          <w:p>
            <w:pPr>
              <w:pStyle w:val="TableContents"/>
              <w:bidi w:val="0"/>
              <w:spacing w:before="0" w:after="283"/>
              <w:jc w:val="left"/>
              <w:rPr/>
            </w:pPr>
            <w:r>
              <w:rPr/>
              <w:t>Operational drills (Section 5.3) are skipped or rushed because they feel less urgent than functional testing</w:t>
            </w:r>
          </w:p>
        </w:tc>
        <w:tc>
          <w:tcPr>
            <w:tcW w:w="6644" w:type="dxa"/>
            <w:tcBorders/>
            <w:vAlign w:val="center"/>
          </w:tcPr>
          <w:p>
            <w:pPr>
              <w:pStyle w:val="TableContents"/>
              <w:bidi w:val="0"/>
              <w:spacing w:before="0" w:after="283"/>
              <w:jc w:val="left"/>
              <w:rPr/>
            </w:pPr>
            <w:r>
              <w:rPr/>
              <w:t>Explicitly required in the exit criteria (Section 6) — Alpha testing is not considered complete without them</w:t>
            </w:r>
          </w:p>
        </w:tc>
      </w:tr>
      <w:tr>
        <w:trPr/>
        <w:tc>
          <w:tcPr>
            <w:tcW w:w="4695" w:type="dxa"/>
            <w:tcBorders/>
            <w:vAlign w:val="center"/>
          </w:tcPr>
          <w:p>
            <w:pPr>
              <w:pStyle w:val="TableContents"/>
              <w:bidi w:val="0"/>
              <w:spacing w:before="0" w:after="283"/>
              <w:jc w:val="left"/>
              <w:rPr/>
            </w:pPr>
            <w:r>
              <w:rPr/>
              <w:t>The same developer who tests a module also built it, missing the same blind spots twice</w:t>
            </w:r>
          </w:p>
        </w:tc>
        <w:tc>
          <w:tcPr>
            <w:tcW w:w="6644" w:type="dxa"/>
            <w:tcBorders/>
            <w:vAlign w:val="center"/>
          </w:tcPr>
          <w:p>
            <w:pPr>
              <w:pStyle w:val="TableContents"/>
              <w:bidi w:val="0"/>
              <w:spacing w:before="0" w:after="283"/>
              <w:jc w:val="left"/>
              <w:rPr/>
            </w:pPr>
            <w:r>
              <w:rPr/>
              <w:t>Cross-testing assignment in Section 4 — developers test modules they did not build where team size allows</w:t>
            </w:r>
          </w:p>
        </w:tc>
      </w:tr>
      <w:tr>
        <w:trPr/>
        <w:tc>
          <w:tcPr>
            <w:tcW w:w="4695" w:type="dxa"/>
            <w:tcBorders/>
            <w:vAlign w:val="center"/>
          </w:tcPr>
          <w:p>
            <w:pPr>
              <w:pStyle w:val="TableContents"/>
              <w:bidi w:val="0"/>
              <w:spacing w:before="0" w:after="283"/>
              <w:jc w:val="left"/>
              <w:rPr/>
            </w:pPr>
            <w:r>
              <w:rPr/>
              <w:t>A rollback drill (Section 5.3) reveals the documented procedure does not actually work</w:t>
            </w:r>
          </w:p>
        </w:tc>
        <w:tc>
          <w:tcPr>
            <w:tcW w:w="6644" w:type="dxa"/>
            <w:tcBorders/>
            <w:vAlign w:val="center"/>
          </w:tcPr>
          <w:p>
            <w:pPr>
              <w:pStyle w:val="TableContents"/>
              <w:bidi w:val="0"/>
              <w:spacing w:before="0" w:after="283"/>
              <w:jc w:val="left"/>
              <w:rPr/>
            </w:pPr>
            <w:r>
              <w:rPr/>
              <w:t>Correct 11_Deployment Plan, Section 6 based on what Alpha testing actually finds, before relying on it during real go-live</w:t>
            </w:r>
          </w:p>
        </w:tc>
      </w:tr>
      <w:tr>
        <w:trPr/>
        <w:tc>
          <w:tcPr>
            <w:tcW w:w="4695" w:type="dxa"/>
            <w:tcBorders/>
            <w:vAlign w:val="center"/>
          </w:tcPr>
          <w:p>
            <w:pPr>
              <w:pStyle w:val="TableContents"/>
              <w:bidi w:val="0"/>
              <w:spacing w:before="0" w:after="283"/>
              <w:jc w:val="left"/>
              <w:rPr/>
            </w:pPr>
            <w:r>
              <w:rPr/>
              <w:t>No confirmed target load for the light load smoke pass (Section 5.5)</w:t>
            </w:r>
          </w:p>
        </w:tc>
        <w:tc>
          <w:tcPr>
            <w:tcW w:w="6644" w:type="dxa"/>
            <w:tcBorders/>
            <w:vAlign w:val="center"/>
          </w:tcPr>
          <w:p>
            <w:pPr>
              <w:pStyle w:val="TableContents"/>
              <w:bidi w:val="0"/>
              <w:spacing w:before="0" w:after="283"/>
              <w:jc w:val="left"/>
              <w:rPr/>
            </w:pPr>
            <w:r>
              <w:rPr/>
              <w:t>Treated as informal and exploratory only; formal performance testing (10_Test Plan, Section 3.6) is the authoritative check once a target load is confirmed</w:t>
            </w:r>
          </w:p>
        </w:tc>
      </w:tr>
    </w:tbl>
    <w:p>
      <w:pPr>
        <w:pStyle w:val="Heading2"/>
        <w:bidi w:val="0"/>
        <w:jc w:val="left"/>
        <w:rPr/>
      </w:pPr>
      <w:r>
        <w:rPr/>
        <w:t>11. Approval</w:t>
      </w:r>
    </w:p>
    <w:p>
      <w:pPr>
        <w:pStyle w:val="BodyText"/>
        <w:bidi w:val="0"/>
        <w:jc w:val="left"/>
        <w:rPr/>
      </w:pPr>
      <w:r>
        <w:rPr/>
        <w:t>Submitted for review by the engaged development team/technology partner as the Phase 1 internal-testing baseline.</w:t>
      </w:r>
    </w:p>
    <w:p>
      <w:pPr>
        <w:pStyle w:val="BodyText"/>
        <w:bidi w:val="0"/>
        <w:spacing w:before="150" w:after="283"/>
        <w:ind w:hanging="0" w:left="0" w:right="0"/>
        <w:jc w:val="left"/>
        <w:rPr>
          <w:b/>
        </w:rPr>
      </w:pPr>
      <w:r>
        <w:rPr>
          <w:b/>
        </w:rPr>
        <w:t>Obeke Godfrey</w:t>
      </w:r>
    </w:p>
    <w:p>
      <w:pPr>
        <w:pStyle w:val="BodyText"/>
        <w:bidi w:val="0"/>
        <w:spacing w:before="600" w:after="283"/>
        <w:ind w:hanging="0" w:left="0" w:right="0"/>
        <w:jc w:val="left"/>
        <w:rPr>
          <w:sz w:val="21"/>
          <w:bdr w:val="single" w:sz="2" w:space="3" w:color="333333"/>
        </w:rPr>
      </w:pPr>
      <w:r>
        <w:rPr>
          <w:sz w:val="21"/>
          <w:bdr w:val="single" w:sz="2" w:space="3" w:color="333333"/>
        </w:rPr>
        <w:t>Director — Prepared by — Signature &amp; Date</w:t>
      </w:r>
    </w:p>
    <w:p>
      <w:pPr>
        <w:pStyle w:val="BodyText"/>
        <w:bidi w:val="0"/>
        <w:spacing w:before="450" w:after="283"/>
        <w:ind w:hanging="0" w:left="0" w:right="0"/>
        <w:jc w:val="left"/>
        <w:rPr>
          <w:color w:val="666666"/>
          <w:sz w:val="18"/>
          <w:bdr w:val="single" w:sz="2" w:space="5" w:color="CCCCCC"/>
        </w:rPr>
      </w:pPr>
      <w:r>
        <w:rPr>
          <w:color w:val="666666"/>
          <w:sz w:val="18"/>
          <w:bdr w:val="single" w:sz="2" w:space="5" w:color="CCCCCC"/>
        </w:rPr>
        <w:t xml:space="preserve">Prepared with reference to: Multi Holdings Limited Software Development Procedures and Implementation Blueprint (Phase 15 Testing — Alpha testing); 10_Test Plan (Sections 3.4–3.9, Section 8 test cases, Section 9 defect severity); 07_System Design Document (v2.0 — observability stack, Section 11 deployment); 11_Deployment Plan (Section 6 rollback procedures); 12_UAT Plan (Section 6 entry criteria). </w:t>
      </w:r>
    </w:p>
    <w:p>
      <w:pPr>
        <w:pStyle w:val="Heading1"/>
      </w:pPr>
      <w:r>
        <w:t>Implementation Status Update (18 August 2026)</w:t>
      </w:r>
    </w:p>
    <w:p>
      <w:r>
        <w:t>Formal Alpha testing has not been run — Section 3's scope (all Phase 1 services, the API Gateway, Kafka, Redis and the observability stack deployed together in staging) does not exist yet; only two of eight services exist, in one local process, with none of the surrounding infrastructure.</w:t>
      </w:r>
    </w:p>
    <w:p>
      <w:r>
        <w:t>An informal precursor was done: an automated Playwright pass through login (three roles), company hierarchy browsing, and user/role management, with zero console or page errors — closer in spirit to Section 5.2's exploratory cross-module testing than to a completed Alpha pass. None of Section 5.3's operational readiness drills (force-stopping a service, rehearsing a rollback, checking Grafana/Jaeger/EFK) are applicable, since none of that infrastructure exists in this slice.</w:t>
      </w:r>
    </w:p>
    <w:p>
      <w:r>
        <w:t>Architecture gap — please read before relying on this update: the Group's own document set (07_System Design Document v2.0, ADR-02/03/04/05) records that Phase 1 was directed to be built as a full microservices architecture — eight independently deployable services plus an API Gateway, Kafka event streaming, a database-per-service pattern, and a full observability stack — superseding an earlier modular-monolith recommendation (03_Feasibility Study, Section 3.1.1). What is described below is that earlier, superseded monolith approach: a single NestJS application against one PostgreSQL database, with no API Gateway, no Kafka, no per-service databases, and no observability stack. It is offered as a fast proof-of-concept that validates the Sprint 1+2 business logic and data model end-to-end, not as a conforming implementation of the currently-approved architecture. Decomposing it into true microservices remains substantial, unstarted work. Code lives in mbms/, alongside this documentation set (docx/) and the Administrator/Customer mockups (screenshots/). See mbms/README.md for exact run instructions and seeded demo credentials.</w:t>
      </w:r>
    </w:p>
    <w:p>
      <w:pPr>
        <w:pStyle w:val="Heading1"/>
      </w:pPr>
      <w:r>
        <w:t>Implementation Status Update 2 (18 August 2026)</w:t>
      </w:r>
    </w:p>
    <w:p>
      <w:r>
        <w:t>Formal Alpha testing still has not been run. The informal Playwright regression pass now additionally covers Employees and Accounting (Section 5.2's exploratory spirit — creating records and checking the dashboard reflects them — closely matches what was actually exercised, minus the Jaeger/EFK-based investigation Section 5.2 describes, since neither exists). Section 5.4's access-control spot-check was informally repeated for the new services: an HR Manager scoped to Morise Logistics Ltd correctly cannot see Morise Agro Ltd's employees.</w:t>
      </w:r>
    </w:p>
    <w:p>
      <w:r>
        <w:t>Architecture note, unchanged from the previous update: this remains the superseded v1.0 modular-monolith approach — one NestJS application, one PostgreSQL database, no API Gateway, no Kafka, no per-service databases, no observability stack — not the microservices architecture 07_System Design Document (v2.0) records as the Group's actual direction. Employees and Accounting were added as two more modules of that same application, not as new independent services. See mbms/README.md for exact run instructions and seeded demo credentials.</w:t>
      </w:r>
    </w:p>
    <w:p>
      <w:pPr>
        <w:pStyle w:val="Heading1"/>
      </w:pPr>
      <w:r>
        <w:t>Implementation Status Update 3 (18 August 2026)</w:t>
      </w:r>
    </w:p>
    <w:p>
      <w:r>
        <w:t>Section 5.4's access-control spot-check was informally repeated again for the new services: a Sales Manager cannot create a Supplier (FORBIDDEN, correct — wrong permission), and every Customer/Supplier record correctly stays within its company's scope for a Branch Manager. No operational drills (Section 5.3) are applicable, unchanged from previous updates.</w:t>
      </w:r>
    </w:p>
    <w:p>
      <w:r>
        <w:t>Architecture note, unchanged from the previous two updates: Customers and Suppliers were added as two more modules of the same single NestJS application — still not the microservices architecture 07_System Design Document (v2.0) records as the Group's actual direction. See mbms/README.md for exact run instructions and seeded demo credentials.</w:t>
      </w:r>
    </w:p>
    <w:p>
      <w:pPr>
        <w:pStyle w:val="Heading1"/>
      </w:pPr>
      <w:r>
        <w:t>Implementation Status Update 4 (18 August 2026)</w:t>
      </w:r>
    </w:p>
    <w:p>
      <w:r>
        <w:t>Section 5.4's access-control spot-check was repeated once more: a Branch Manager (no product.manage) is rejected creating a product with FORBIDDEN. With Products added, every Phase 1 module built so far has now had at least one informal cross-module exploratory pass (Section 5.2's spirit), though nothing resembling a formal, complete Alpha test run has occurred.</w:t>
      </w:r>
    </w:p>
    <w:p>
      <w:r>
        <w:t>Architecture note, unchanged since the first update: Products was added as one more module of the same single NestJS application — still not the microservices architecture 07_System Design Document (v2.0) records as the Group's actual direction. See mbms/README.md for exact run instructions and seeded demo credentials.</w:t>
      </w:r>
    </w:p>
    <w:p>
      <w:pPr>
        <w:pStyle w:val="Heading1"/>
      </w:pPr>
      <w:r>
        <w:t>Implementation Status Update 5 (18 August 2026)</w:t>
      </w:r>
    </w:p>
    <w:p>
      <w:r>
        <w:t>Section 5.4's access-control spot-check now covers its own explicit third bullet for the first time: "confirm bank/tax fields (Employee, Supplier) are masked for an account that lacks the elevated permission" combined with the audit trail — a masked-field access does not itself generate an audit_logs row distinct from the ordinary read (masking happens in the response serializer, not as a separate logged event), which is a reasonable design choice worth recording explicitly rather than leaving implicit. Section 5.3's operational drills (Jaeger tracing a request, EFK log search) remain not applicable, since neither exists in this proof-of-concept.</w:t>
      </w:r>
    </w:p>
    <w:p>
      <w:r>
        <w:t>Architecture note, unchanged since the first update: the Audit Trail was built as a shared, in-process AuditService every module calls directly and synchronously — not the Kafka-consuming Audit &amp; Reporting Service 07_System Design Document (v2.0) specifies. Functionally equivalent (the same event data lands in the same table shape), but a synchronous in-process call standing in for what should be an async publish/consume pair across independently deployable services. See mbms/README.md for exact run instructions and seeded demo credentials.</w:t>
      </w:r>
    </w:p>
    <w:p>
      <w:pPr>
        <w:pStyle w:val="Heading1"/>
      </w:pPr>
      <w:r>
        <w:t>Implementation Status Update 6 (18 August 2026)</w:t>
      </w:r>
    </w:p>
    <w:p>
      <w:r>
        <w:t>Section 5.4's access-control spot-check gains a concrete, already-exercised example worth naming explicitly here: a user holding no role at all, only a single directly-granted permission, was confirmed to access exactly the one endpoint that permission gates and be correctly refused everything else — the cleanest possible demonstration of this system's permission model actually being additive and scope-correct rather than accidentally role-shaped underneath. See mbms/README.md, "Sprint 1 verification pass", for the full detail and verification method.</w:t>
      </w:r>
    </w:p>
    <w:p>
      <w:pPr>
        <w:pStyle w:val="Heading1"/>
      </w:pPr>
      <w:r>
        <w:t>Implementation Status Update 7 (18 August 2026)</w:t>
      </w:r>
    </w:p>
    <w:p>
      <w:r>
        <w:t>Section 5.4's access-control spot-check gains a second concrete example worth naming here alongside the Sprint 1 one: the previous "no seeded user could reach company management" state was not a security gap (the permission check was correct and safe by default — it simply denied everyone), but it is exactly the kind of overly-restrictive misconfiguration this section's spot-check exists to catch, the mirror image of the excess-access failure mode the section's other examples focus on. See mbms/README.md, "Sprint 2 verification pass", for the full detail and verification method.</w:t>
      </w:r>
    </w:p>
    <w:p>
      <w:pPr>
        <w:pStyle w:val="Heading1"/>
      </w:pPr>
      <w:r>
        <w:t>Implementation Status Update 8 (18 August 2026)</w:t>
      </w:r>
    </w:p>
    <w:p>
      <w:r>
        <w:t>Section 5.4's access-control spot-check was re-run for Employees specifically this update, now that every field including bank/tax is enterable: confirmed a Managing-Director-level account (employee.viewAll but not employee.view.sensitive) still sees bank/tax fields masked with the full expanded field set present, not just the six fields the create form previously exposed. See mbms/README.md, "Sprint 3 verification pass", for the full detail and verification method.</w:t>
      </w:r>
    </w:p>
    <w:p>
      <w:pPr>
        <w:pStyle w:val="Heading1"/>
      </w:pPr>
      <w:r>
        <w:t>Implementation Status Update 9 (18 August 2026)</w:t>
      </w:r>
    </w:p>
    <w:p>
      <w:r>
        <w:t>Section 5.4's access-control spot-check was re-run for Suppliers specifically, now that contract and full contact/bank fields are enterable: confirmed a Managing-Director-level account (supplier.viewAll but not supplier.view.sensitive) still sees bank fields masked while the new, non-sensitive contractReference field is correctly visible unmasked — confirming the masking logic discriminates by field, not by a blanket sensitive/non-sensitive record split. See mbms/README.md, "Sprint 4 verification pass", for the full detail and verification method.</w:t>
      </w:r>
    </w:p>
    <w:p>
      <w:pPr>
        <w:pStyle w:val="Heading1"/>
      </w:pPr>
      <w:r>
        <w:t>Implementation Status Update 10 (18 August 2026)</w:t>
      </w:r>
    </w:p>
    <w:p>
      <w:r>
        <w:t>No new access-control finding this update — Products carries no sensitive/masked fields the way Employees and Suppliers do, so this update's fixes don't interact with Section 5.4's spot-check the way the two previous updates' did. See mbms/README.md, "Sprint 5 verification pass", for the full detail and verification method.</w:t>
      </w:r>
    </w:p>
    <w:p>
      <w:pPr>
        <w:pStyle w:val="Heading1"/>
      </w:pPr>
      <w:r>
        <w:t>Implementation Status Update 11 (18 August 2026)</w:t>
      </w:r>
    </w:p>
    <w:p>
      <w:r>
        <w:t>Scope note: the request that opened this sprint named "Procurement, purchase orders and goods received" — none of which appear anywhere in 04_Software Requirements Specification's Phase 1 scope (FR-SUPP-02's own deferred note explicitly pushes purchase requisitions/orders to Phase 2), and none of which match what 17_Development Plan actually calls Sprint 6 ("Accounting completion, Dashboard, Audit Trail"). Asked how to handle the mismatch, the choice was to re-verify the actual Sprint 6 instead, the same method as Sprints 1-5, rather than starting new, unscoped Phase 2 work. No Procurement/PO/GRN code was added. Section 5.4's access-control spot-check was re-run for the new general ledger endpoint specifically: confirmed a user outside a company's scope receives NOT_FOUND (not FORBIDDEN, matching this codebase's consistent convention), and that the dashboard's new accounting field is null (not an error) for a user holding neither accounting.manage nor accounting.viewAll for that company, rather than leaking data or throwing.</w:t>
      </w:r>
    </w:p>
    <w:p>
      <w:r>
        <w:t>See mbms/README.md, "Sprint 6 verification pass", for the full detail and verification method.</w:t>
      </w:r>
    </w:p>
    <w:p>
      <w:pPr>
        <w:pStyle w:val="Heading1"/>
      </w:pPr>
      <w:r>
        <w:t>17. Implementation Status Update 12 (18 August 2026) — Alpha Security Pass</w:t>
      </w:r>
    </w:p>
    <w:p>
      <w:r>
        <w:t>Scope note: the request that opened this sprint named "Sales, invoices and receipts" — explicitly Phase 2 in 04_Software Requirements Specification's own phasing text, and with no existing code to verify, unlike Sprint 6 which had real code under a mismatched label. The actual Sprint 7 per 17_Development Plan is "Contract, system and security testing." Asked how to handle the mismatch, the choice was to run that instead. No Sales/Invoice/Receipt code was added.</w:t>
      </w:r>
    </w:p>
    <w:p>
      <w:r>
        <w:t>This update effectively performed the access-control and injection-attack portions of Section 5's Alpha checklist ahead of a formal Alpha cycle: cross-company access blocked, role escalation blocked, SQL injection and XSS payloads both neutralized and verified live (including a Playwright check that the XSS payload never executes in the browser), and brute-force login attempts correctly rate-limited. Worth flagging when Alpha testing formally begins so this isn't re-litigated as new ground.</w:t>
      </w:r>
    </w:p>
    <w:p>
      <w:r>
        <w:t>See mbms/README.md, "Sprint 7: security testing pass", for the full detail and verification method.</w:t>
      </w:r>
    </w:p>
    <w:p>
      <w:pPr>
        <w:pStyle w:val="Heading1"/>
      </w:pPr>
      <w:r>
        <w:t>18. Implementation Status Update 13 (18 August 2026) — Critical Finding via Alpha 5.4-Adjacent Testing</w:t>
      </w:r>
    </w:p>
    <w:p>
      <w:r>
        <w:t>Scope note: the request that opened this sprint named "Inventory" — explicitly Phase 2 in 04_Software Requirements Specification's own phasing text, with no existing code to verify. The actual Sprint 8 per 17_Development Plan is "Performance testing, Alpha testing, UAT begins." Asked how to handle the mismatch, the choice was to run that instead. No Inventory code was added.</w:t>
      </w:r>
    </w:p>
    <w:p>
      <w:r>
        <w:t>CRITICAL finding, fixed: Employees, Customers, Suppliers and Products' list() methods each used a caller-supplied filter[companyId] query parameter verbatim, with no check that it was actually one of the caller's own scoped companies — a scoped user (e.g. an HR Manager scoped only to one subsidiary) could pass filter[companyId]=&lt;any other company&gt; and receive that company's real records, including unmasked bank account numbers for Employees where the caller held employee.view.sensitive for their own company. This is a direct BR-01 violation. Found via 13_Alpha Test Plan Section 5.2's exploratory checklist (browsing for a module reachable by a role that shouldn't have access), not a scripted test case. Fixed in all four services: an out-of-scope filter[companyId] now falls back to the caller's real scope instead of being honored. Verified with the exact attack that found it, across all four services, plus confirmation that legitimate own-scope filtering still works normally.</w:t>
      </w:r>
    </w:p>
    <w:p>
      <w:r>
        <w:t>This is the most significant finding of this Alpha-testing-in-spirit sequence across all thirteen status updates — Section 5.2's "discovered by browsing rather than by a scripted attempt" checklist item did exactly what it exists to do. Also repeated this update, post-fix: Section 5.4's cross-company access and admin-only-function checks, both correctly denied.</w:t>
      </w:r>
    </w:p>
    <w:p>
      <w:r>
        <w:t>See mbms/README.md, "Sprint 8: performance, Alpha and UAT pass", for the full detail and verification method.</w:t>
      </w:r>
    </w:p>
    <w:p>
      <w:pPr>
        <w:pStyle w:val="Heading1"/>
      </w:pPr>
      <w:r>
        <w:t>19. Implementation Status Update 14 (18 August 2026) — Expense Scope-Isolation Check</w:t>
      </w:r>
    </w:p>
    <w:p>
      <w:r>
        <w:t>Scope note: Sprint 8's critical finding (Update 13) was a BR-01 scope-bypass bug in four Phase 1 services' list() filters. This sprint proactively ran the same exploratory check (Section 5.2: “no module is reachable by a role that should not have access to it”) against the new Expense Service before treating it as done, rather than waiting for a future Alpha pass to find it.</w:t>
      </w:r>
    </w:p>
    <w:p>
      <w:r>
        <w:t>Result: no equivalent bug found. The Expense Service's list() and get() both validate filter[companyId]/the claim's own companyId against the caller's actual scope before use, the same pattern Sprint 8 corrected the other four services to use — Expenses was built after that fix and copied the corrected pattern from the start, not the vulnerable one. Verified directly: a Human Resources Manager scoped only to Morise Logistics Ltd requesting a Morise Agro Ltd claim by direct ID correctly receives NOT_FOUND.</w:t>
      </w:r>
    </w:p>
    <w:p>
      <w:r>
        <w:t>See mbms/README.md, “Sprint 9”, for the full detail and verification method.</w:t>
      </w:r>
    </w:p>
    <w:p>
      <w:pPr>
        <w:pStyle w:val="Heading1"/>
      </w:pPr>
      <w:r>
        <w:t>20. Implementation Status Update 15 (18 August 2026) — Accounting Scope-Isolation Check</w:t>
      </w:r>
    </w:p>
    <w:p>
      <w:r>
        <w:t>Scope note: following the same proactive-check pattern Sprint 9's Update 14 established for Expenses, this update ran Section 5.2's exploratory check (“no module is reachable by a role that should not have access to it”) against the new recurring-entries and report endpoints before treating Sprint 10 as done.</w:t>
      </w:r>
    </w:p>
    <w:p>
      <w:r>
        <w:t>Result: no equivalent bug found for recurring entries — they use the same isCompanyInScope check every other Accounting endpoint already uses. One real issue WAS found and fixed in the new consolidated report endpoints (not a scope-isolation bug, but a related correctness bug in the same code path): the consolidated income-statement endpoint required periodId to belong to the root company, which silently broke the whole feature for a pure holding company with no periods of its own. Fixed to validate scope against whichever company the period actually belongs to instead.</w:t>
      </w:r>
    </w:p>
    <w:p>
      <w:r>
        <w:t>See mbms/README.md, “Sprint 10”, for the full detail and verification method.</w:t>
      </w:r>
    </w:p>
    <w:p>
      <w:pPr>
        <w:pStyle w:val="Heading1"/>
      </w:pPr>
      <w:r>
        <w:t>21. Implementation Status Update 16 (18 August 2026) — Asset Scope-Isolation Check</w:t>
      </w:r>
    </w:p>
    <w:p>
      <w:r>
        <w:t>Scope note: following the proactive-check pattern established in Sprints 9–10, this update ran Section 5.2's exploratory check against the new Asset Service before treating Sprint 11 as done.</w:t>
      </w:r>
    </w:p>
    <w:p>
      <w:r>
        <w:t>Result: no scope-isolation bug found — Assets was built using the corrected isCompanyInScope pattern from the start. One separate design point surfaced during testing (not a bug): dispose() doesn't enforce that the gain/loss account's type matches the computed sign; documented as deliberate in mbms/README.md, “Sprint 11”, and mitigated at the UI layer with a live gain/loss preview.</w:t>
      </w:r>
    </w:p>
    <w:p>
      <w:r>
        <w:t>See mbms/README.md, “Sprint 11”, for the full detail and verification method.</w:t>
      </w:r>
    </w:p>
    <w:p>
      <w:pPr>
        <w:pStyle w:val="Heading1"/>
      </w:pPr>
      <w:r>
        <w:t>22. Implementation Status Update 17 (18 August 2026) — Project Scope-Isolation Check</w:t>
      </w:r>
    </w:p>
    <w:p>
      <w:r>
        <w:t>Scope note: following the proactive-check pattern established in Sprints 9–11, this update ran Section 5.2's exploratory check against the new Project Service before treating Sprint 12 as done.</w:t>
      </w:r>
    </w:p>
    <w:p>
      <w:r>
        <w:t>Result: no scope-isolation bug found — Projects was built using the corrected isCompanyInScope pattern from the start, and its cross-module read (Expense records for profitability) is filtered by projectId, which is itself already company-scoped at creation time.</w:t>
      </w:r>
    </w:p>
    <w:p>
      <w:r>
        <w:t>See mbms/README.md, “Sprint 12”, for the full detail and verification method.</w:t>
      </w:r>
    </w:p>
    <w:p>
      <w:pPr>
        <w:pStyle w:val="Heading1"/>
      </w:pPr>
      <w:r>
        <w:t>23. Implementation Status Update 18 (18 August 2026) — Report Permission Parity Check</w:t>
      </w:r>
    </w:p>
    <w:p>
      <w:r>
        <w:t>Scope note: following the proactive-check pattern established in Sprints 9–12, this update checked every report endpoint's permission requirement against its underlying data's real requirement before treating Sprint 13 as done — the specific risk a reporting layer introduces (quietly widening access to data a role can't otherwise see) rather than a scope-isolation bug of the kind found in Sprint 8.</w:t>
      </w:r>
    </w:p>
    <w:p>
      <w:r>
        <w:t>Result: no permission-parity gap found — every report endpoint requires exactly what its source module already requires, verified individually against each source controller's actual @RequirePermission decorator (or deliberate absence of one) rather than assumed.</w:t>
      </w:r>
    </w:p>
    <w:p>
      <w:r>
        <w:t>See mbms/README.md, “Sprint 13”, for the full detail and verification method.</w:t>
      </w:r>
    </w:p>
    <w:p>
      <w:pPr>
        <w:pStyle w:val="Heading1"/>
      </w:pPr>
      <w:r>
        <w:t>24. Implementation Status Update 19 (18 August 2026) — Notification Targeting Bug Found and Fixed</w:t>
      </w:r>
    </w:p>
    <w:p>
      <w:r>
        <w:t>Scope note: following the proactive-check pattern established in Sprints 9–13, this update checked the new Notifications module's own targeting logic before treating Sprint 14 as done — the specific risk a fan-out notification helper introduces (silently missing a recipient who should see it) rather than a scope-isolation bug of the kind found in Sprint 8.</w:t>
      </w:r>
    </w:p>
    <w:p>
      <w:r>
        <w:t>Result: a real bug found and fixed. findUsersWithPermissionInCompany() originally only matched users with an explicit UserScope row for the target company, missing group-visibility-permission holders (e.g. Managing Director, who sees every company via asset.viewAll, a permission, not a scope row) entirely. Confirmed directly: a live disposal request produced zero notifications for Managing Director before the fix, one after.</w:t>
      </w:r>
    </w:p>
    <w:p>
      <w:r>
        <w:t>See mbms/README.md, “Sprint 14”, for the full detail and verification method.</w:t>
      </w:r>
    </w:p>
    <w:p>
      <w:pPr>
        <w:pStyle w:val="Heading1"/>
      </w:pPr>
      <w:r>
        <w:t>25. Implementation Status Update 20 (19 August 2026) — Two Missing Scope Checks Found and Fixed in Inter-Company Transactions</w:t>
      </w:r>
    </w:p>
    <w:p>
      <w:r>
        <w:t>Scope note: following the proactive-check pattern established in Sprints 9–14, this update checked the new inter-company transaction endpoints' scope enforcement before treating this pass as done — the specific risk a group-wide-permission-gated, two-company feature introduces (a caller scoped to only one of the two companies acting on both).</w:t>
      </w:r>
    </w:p>
    <w:p>
      <w:r>
        <w:t>Result: two real gaps found and fixed. InterCompanyTransactionsService.create() and .post() had no isCompanyInScope() check on either company at all — confirmed live, a Finance Manager scoped only to Morise Agro Ltd was able to post a transaction touching Morise Logistics Ltd purely because she holds the group-wide organization.intercompany.viewAll permission (arguably correct by design, but wholly unenforced in code). While fixing those, .get() was found to have no permission check whatsoever — any authenticated user could fetch any inter-company transaction by ID. Both fixed with explicit isCompanyInScope() checks on both companies; confirmed afterward that a Sales Manager holding neither intercompany permission gets 404 NOT_FOUND on a direct lookup by ID.</w:t>
      </w:r>
    </w:p>
    <w:p>
      <w:r>
        <w:t>See mbms/README.md, “Company and Holdings Management,” for the full detail and verification method.</w:t>
      </w:r>
    </w:p>
    <w:p>
      <w:pPr>
        <w:pStyle w:val="Heading1"/>
      </w:pPr>
      <w:r>
        <w:t>26. Implementation Status Update 21 (19 August 2026) — Dashboard Deepening</w:t>
      </w:r>
    </w:p>
    <w:p>
      <w:r>
        <w:t>Scope note: this update was requested directly against a full Holding Company / Subsidiary Dashboard KPI list (companies, branches, employees, customers, suppliers, assets, revenue, expenses, net profit, cash position, bank balances, outstanding receivables/payables, current projects, pending approvals, outstanding loans, inventory value, sales performance, procurement performance, employee statistics, company performance comparison, four monthly charts, and financial/operational alerts), not a numbered sprint from Multi_Holdings_Limited_Software_Development_Procedures.docx's Section 12 table (already complete except Sprints 6-8) or the request from earlier the same day (Company and Holdings Management Deepening, Update 20).</w:t>
      </w:r>
    </w:p>
    <w:p>
      <w:r>
        <w:t>Built: a deepened Holding Company Dashboard (group-wide financial position, four monthly charts, financial/operational alerts, employee statistics, company performance comparison, outstanding inter-company loans) and a deepened Subsidiary Dashboard (the same financial/chart blocks, scoped and permission-gated per company). Inventory value, sales performance and procurement performance are honestly reported as not available — no such module exists in this codebase.</w:t>
      </w:r>
    </w:p>
    <w:p>
      <w:r>
        <w:t>See mbms/README.md, "Dashboard Deepening — Holding Company &amp; Subsidiary KPI Set", for the full detail and verification method.</w:t>
      </w:r>
    </w:p>
    <w:p>
      <w:pPr>
        <w:pStyle w:val="Heading1"/>
      </w:pPr>
      <w:r>
        <w:t>27. Implementation Status Update 22 (19 August 2026) — RBAC Completion</w:t>
      </w:r>
    </w:p>
    <w:p>
      <w:r>
        <w:t>Scope note: this update was requested directly against a full RBAC feature list — a User Management capability bullet list (create/edit/activate-deactivate/reset password/change password/lock accounts/manage profiles/assign companies-branches-departments/assign roles/assign permissions/restrict access to modules, companies, branches, financial information and sensitive documents) and the 23-role catalogue (Super Administrator through Read-only User) — not a numbered sprint or either of the two dashboard/company-holdings passes from earlier the same day.</w:t>
      </w:r>
    </w:p>
    <w:p>
      <w:r>
        <w:t>Built: all 23 catalogue roles are now permissioned (14 of them — Chief Financial Officer, Accountant, Operations Manager, Project Manager, Inventory Manager, Warehouse Manager, Legal Officer, Customer Service Officer, Employee, External Auditor, Board Member, Investor, Read-only User — existed as role rows since Sprint 1 but had never been given a single permission), plus a new self-service POST /identity/users/me/change-password endpoint (distinct from the existing admin-initiated reset and the unauthenticated forgot-password flow). No new permission or schema migration was needed for the role work; the new endpoint reuses the existing IsStrongPassword validator and audit pattern.</w:t>
      </w:r>
    </w:p>
    <w:p>
      <w:r>
        <w:t>See mbms/README.md, "RBAC Completion — Full Role Catalogue Permissioned, Self-Service Password Change Added", for the full detail and verification method.</w:t>
      </w:r>
    </w:p>
    <w:p>
      <w:pPr>
        <w:pStyle w:val="Heading1"/>
      </w:pPr>
      <w:r>
        <w:t>28. Implementation Status Update 23 (19 August 2026) — HR Module Deepening</w:t>
      </w:r>
    </w:p>
    <w:p>
      <w:r>
        <w:t>Scope note: this update was requested directly against a full HR feature list — Employee Management, Recruitment, Attendance, Leave Management and Performance Management — opening with "The HR module should manage employees across all companies," not a numbered sprint or either pass earlier the same day.</w:t>
      </w:r>
    </w:p>
    <w:p>
      <w:r>
        <w:t>Built: Employee Management was re-verified (one gap closed — a real employment-history table, plus a document-reference field). Four entirely new modules were built: Recruitment (vacancy approval workflow through application/interview/offer, ending in onboarding into a real employee record), Attendance (self-service clock-in/out against an assigned shift, or HR-recorded for employees without a login), Leave (five leave types, balance-checked approval), and Performance (review cycles, objectives/KPIs, self- and manager-assessment). Migration: hr_module_recruitment_attendance_leave_performance (eleven new tables, two new employees columns). Ten new permissions; no existing permission was changed.</w:t>
      </w:r>
    </w:p>
    <w:p>
      <w:r>
        <w:t>Two real gaps were found and fixed during this pass: a self-service scope-gating bug in Performance (an ordinary employee reading or submitting their own review could be incorrectly blocked, since the original code path required company-wide scope even for pure self-access), and a demo-reachability gap where the HR Manager persona's single-company scope meant no seeded user could reach three of the four new modules' management actions for one subsidiary at all.</w:t>
      </w:r>
    </w:p>
    <w:p>
      <w:r>
        <w:t>See mbms/README.md, "HR Module Deepening — Recruitment, Attendance, Leave, Performance", for the full detail and verification method.</w:t>
      </w:r>
    </w:p>
    <w:p>
      <w:pPr>
        <w:pStyle w:val="Heading1"/>
      </w:pPr>
      <w:r>
        <w:t>29. Implementation Status Update 24 (19 August 2026) — Three Real Defects Found Across the Customer Storefront Passes</w:t>
      </w:r>
    </w:p>
    <w:p>
      <w:r>
        <w:t>Scope note: requested directly against three related asks handled in one session — build the customer storefront, make it responsive, and add a public landing page with a disclaimer — not a numbered sprint, and not a scripted Alpha run, but each finding below matches this plan's own Section 5.2 spirit (a real gap caught by exploratory verification, not by a test written to look for that specific gap in advance).</w:t>
      </w:r>
    </w:p>
    <w:p>
      <w:r>
        <w:t>Finding 1 (seed-script idempotency): re-running prisma/seed.ts after a partial demo-order seeding run minted a fresh, higher-numbered batch of orders/invoices instead of recognizing the first one, doubling Highland Traders Ltd's outstanding balance to 30.6M against a 20M credit limit and making every subsequent "place an order" test fail its own credit-limit check — found while re-verifying credit-limit rejection, not while testing seeding itself. Fixed by guarding the whole block behind a single prisma.order.count({customerId}) check.</w:t>
      </w:r>
    </w:p>
    <w:p>
      <w:r>
        <w:t>Finding 2 (frontend/backend permission drift): the new Support Tickets admin screen's canManage check was hardcoded to two role names; the backend had actually granted the underlying permission to a third role (IT Administrator, standing in for the unseeded Customer Service Officer persona) — the UI's reply form stayed invisible to that role despite the API correctly allowing the call. Found by logging in as that exact role during a Playwright pass, not by reading the code side-by-side.</w:t>
      </w:r>
    </w:p>
    <w:p>
      <w:r>
        <w:t>Finding 3 (CSS specificity leak, responsive pass): an order: 1 rule added to fix one header's wrap behavior applied globally to a shared CSS class, silently swapping the logo and Sign In button on the new Landing page's unrelated header — no console error, no layout overflow, nothing an automated assertion was checking for. Found only by looking at a captured screenshot.</w:t>
      </w:r>
    </w:p>
    <w:p>
      <w:r>
        <w:t>See mbms/README.md, "Sprint 16: Customer Storefront", "Storefront responsiveness pass" and "Landing page and disclaimer added", for the full detail and each fix.</w:t>
      </w:r>
    </w:p>
    <w:p>
      <w:pPr>
        <w:pStyle w:val="Heading1"/>
      </w:pPr>
      <w:r>
        <w:t>30. Implementation Status Update 25 (19 August 2026) — Financial Module Deepening</w:t>
      </w:r>
    </w:p>
    <w:p>
      <w:r>
        <w:t>Scope note: this update was requested directly against a full Financial Module feature list — General Ledger gaps, Accounts Receivable, Accounts Payable, and five new Financial Statements — opening with "The financial module should be one of the core components of the system." Not a numbered sprint or any of the three passes earlier the same day.</w:t>
      </w:r>
    </w:p>
    <w:p>
      <w:r>
        <w:t>Built: closing entries (a real journal entry zeroing revenue/expense into Retained Earnings on period close), adjusting-entry tagging, account reconciliation, and budgets on the General Ledger side; a new Accounts Payable subledger (supplier invoices with a draft-approve-pay workflow, payments, credit notes, aging, statements); Accounts Receivable deepened with credit/debit notes and staff-facing aging/statements on top of the existing Order/Invoice/Payment system (see the correction note below); and four new report endpoints — Cash Flow Statement, Statement of Changes in Equity, Financial Ratios, Budget vs Actual, and a Management Accounts bundle.</w:t>
      </w:r>
    </w:p>
    <w:p>
      <w:r>
        <w:t>A real duplication was found and corrected before any service code shipped: this pass's first draft of Accounts Receivable defined its own customer invoice/payment tables, and a routine database check found a complete Order-to-Invoice-to-Payment system already built by a different, concurrently-running session (the "Customer Storefront" work also reflected in this docx set's own Update 24 entries). The duplicate tables were deleted before any code referenced them; Accounts Receivable was built against the real existing models instead. This is the second time this project has had two sessions modifying the same live database concurrently the same day — the migration tracking table needed re-baselining three times as a result, a recovered environment issue, not data loss.</w:t>
      </w:r>
    </w:p>
    <w:p>
      <w:r>
        <w:t>See mbms/README.md, "Financial Module Deepening", for the full detail and verification method.</w:t>
      </w:r>
    </w:p>
    <w:p>
      <w:pPr>
        <w:pStyle w:val="Heading1"/>
      </w:pPr>
      <w:r>
        <w:t>31. Implementation Status Update 26 (27 August 2026) — Admin Navigation Redesign</w:t>
      </w:r>
    </w:p>
    <w:p>
      <w:pPr>
        <w:pStyle w:val="BodyText"/>
      </w:pPr>
      <w:r>
        <w:t>On 27 August 2026 the staff Admin application's navigation was reorganised from a single flat list of 21 links into four collapsible, self-remembering categories, to match the agreed screen taxonomy captured in four reference screenshots dated 27 August 2026 (see the screenshots/ folder).</w:t>
      </w:r>
    </w:p>
    <w:p>
      <w:pPr>
        <w:pStyle w:val="BodyText"/>
      </w:pPr>
      <w:r>
        <w:t>The four categories and their menu items are:</w:t>
      </w:r>
    </w:p>
    <w:p>
      <w:pPr>
        <w:pStyle w:val="BodyText"/>
      </w:pPr>
      <w:r>
        <w:t>•  Admin / Backend: Dashboard, Companies &amp; Holdings, Product Manager, Order Management, Inventory*, Customers (CRM), Support Tickets, Marketing &amp; Promos*, CMS / Site Builder*, Users &amp; Settings, Activity Log.</w:t>
      </w:r>
    </w:p>
    <w:p>
      <w:pPr>
        <w:pStyle w:val="BodyText"/>
      </w:pPr>
      <w:r>
        <w:t>•  Human Resources: HR Dashboard*, Employees, Departments*, Attendance, Leave Requests, Shift Scheduling*, Recruitment, Payroll*.</w:t>
      </w:r>
    </w:p>
    <w:p>
      <w:pPr>
        <w:pStyle w:val="BodyText"/>
      </w:pPr>
      <w:r>
        <w:t>•  My HR (employee self-service): My Profile, Clock In / Out*, My Leave*, My Shifts*, My Performance*, My Payslips*, My Salary Advances*.</w:t>
      </w:r>
    </w:p>
    <w:p>
      <w:pPr>
        <w:pStyle w:val="BodyText"/>
      </w:pPr>
      <w:r>
        <w:t>•  Financial &amp; Accounting: Financial &amp; Accounting (overview)*, General Ledger &amp; Journals, Accounts Payable, Expenses, Assets, Projects, Reports, Suppliers, Inter-Company.</w:t>
      </w:r>
    </w:p>
    <w:p>
      <w:pPr>
        <w:pStyle w:val="BodyText"/>
      </w:pPr>
      <w:r>
        <w:t>Items marked with an asterisk (*) are part of the taxonomy but have no backend service in the current slice. In the application they render as navigable “Planned” placeholder screens so the structure has no dead links. Every previously working screen remains available — it has only been regrouped, and in some cases relabelled (Companies → Companies &amp; Holdings, Products → Product Manager, Orders → Order Management, Users &amp; Roles → Users &amp; Settings, Audit Trail → Activity Log, Accounting → General Ledger &amp; Journals, Leave → Leave Requests). Suppliers moved under Financial &amp; Accounting; Performance is no longer a top-level link (manager-side access is retained via /performance and the HR flows, and “My Performance” is the self-service entry).</w:t>
      </w:r>
    </w:p>
    <w:p>
      <w:pPr>
        <w:pStyle w:val="BodyText"/>
      </w:pPr>
      <w:r>
        <w:t>This is a front-end-only change: NAV_GROUPS taxonomy and a collapsible category component in mbms/frontend/src/components/Layout.jsx, a shared ComingSoon placeholder component, 14 placeholder routes in App.jsx, and sidebar styles in app.css. There is no API, database schema, or data-migration impact. Verified with a production vite build (62 modules, no errors) and a headless screenshot of the running dev server.</w:t>
      </w:r>
    </w:p>
    <w:p>
      <w:pPr>
        <w:pStyle w:val="Heading2"/>
      </w:pPr>
      <w:r>
        <w:t>Impact on this document</w:t>
      </w:r>
    </w:p>
    <w:p>
      <w:pPr>
        <w:pStyle w:val="BodyText"/>
      </w:pPr>
      <w:r>
        <w:t>Alpha testing adds a short exploratory pass over the regrouped navigation on desktop and narrow viewports (the sidebar drawer), confirming no dead links and that collapse state behaves.</w:t>
      </w:r>
    </w:p>
    <w:p>
      <w:pPr>
        <w:pStyle w:val="Heading1"/>
      </w:pPr>
      <w:r>
        <w:t>32. Implementation Status Update 27 (27 August 2026) — Delegated Administration (Grant Authority)</w:t>
      </w:r>
    </w:p>
    <w:p>
      <w:pPr>
        <w:pStyle w:val="BodyText"/>
      </w:pPr>
      <w:r>
        <w:t>Every admin user may only view, create, update, delete and execute the operations that have been granted to them — enforced per request by the permission guard, which re-derives the user's roles and permissions from the database on every call. On 27 August 2026 the model for HOW those grants are made was tightened: roles and direct permissions may now only be granted or revoked by three business grantor roles, each within a bounded authority.</w:t>
      </w:r>
    </w:p>
    <w:p>
      <w:pPr>
        <w:pStyle w:val="BodyText"/>
      </w:pPr>
      <w:r>
        <w:t>Grantor authority:</w:t>
      </w:r>
    </w:p>
    <w:p>
      <w:pPr>
        <w:pStyle w:val="BodyText"/>
      </w:pPr>
      <w:r>
        <w:t>•  Managing Director: may delegate any role and any permission (every domain), to any user, group-wide.</w:t>
      </w:r>
    </w:p>
    <w:p>
      <w:pPr>
        <w:pStyle w:val="BodyText"/>
      </w:pPr>
      <w:r>
        <w:t>•  Branch Manager: may delegate only “operations”-domain permissions (and roles composed only of them), and only to users inside their own company/branch scope.</w:t>
      </w:r>
    </w:p>
    <w:p>
      <w:pPr>
        <w:pStyle w:val="BodyText"/>
      </w:pPr>
      <w:r>
        <w:t>•  Human Resources Manager: may delegate only “hr”-domain permissions, and only to users inside their own company/branch scope.</w:t>
      </w:r>
    </w:p>
    <w:p>
      <w:pPr>
        <w:pStyle w:val="BodyText"/>
      </w:pPr>
      <w:r>
        <w:t>•  Super Administrator / IT Administrator: retain unbounded grant authority as the platform bootstrap / break-glass path (they hold identity.user.manage).</w:t>
      </w:r>
    </w:p>
    <w:p>
      <w:pPr>
        <w:pStyle w:val="BodyText"/>
      </w:pPr>
      <w:r>
        <w:t>Mechanism: every permission now carries a domain (identity, org, hr, finance, operations or governance). DELEGATION_RULES maps each grantor role to the domains it may delegate and whether its reach is group-wide or own-scope; a user with several grantor roles gets the union. DelegationService.assertCanGrant runs on every grant and every revoke (a role assignment is first expanded to its permission codes): it checks each permission's domain against the actor's authority, then — for own-scope grantors — that every one of the target user's scope rows is covered by one of the actor's. A new permission identity.user.delegate lets the three grantor roles reach the grant/revoke and read-only user-list endpoints; user lifecycle (create / activate / lock / scope) stays limited to identity.user.manage.</w:t>
      </w:r>
    </w:p>
    <w:p>
      <w:pPr>
        <w:pStyle w:val="BodyText"/>
      </w:pPr>
      <w:r>
        <w:t>Supporting changes: GET /identity/users/{id}/delegatable-grants returns exactly the roles and permissions the signed-in admin may grant on that user plus a canDelegateToTarget flag, and the Users &amp; Settings screen uses it so its dropdowns only ever offer allowed grants and it shows a notice when the selected user is outside the admin's scope. Grant and revoke are written to the audit trail (identity.user.updated with roleAssigned / roleRemoved / permissionGranted / permissionRevoked); a blocked attempt is recorded as UsersController.access.denied. One Prisma migration adds permissions.domain; the seed backfills every domain and grants identity.user.delegate to the Managing Director, Branch Manager, Human Resources Manager and Super Administrator. Verified end-to-end against the running API (MD grants any domain; Branch Manager grants operations in-scope but is refused an hr permission and any out-of-scope target; HR Manager grants hr in-scope but is refused operations; a non-grantor is refused by the guard).</w:t>
      </w:r>
    </w:p>
    <w:p>
      <w:pPr>
        <w:pStyle w:val="Heading2"/>
      </w:pPr>
      <w:r>
        <w:t>Impact on this document</w:t>
      </w:r>
    </w:p>
    <w:p>
      <w:pPr>
        <w:pStyle w:val="BodyText"/>
      </w:pPr>
      <w:r>
        <w:t>Alpha testing adds a delegation access-control spot-check to the internal pass: log in as each grantor persona and confirm the Users &amp; Settings screen offers only the permitted grants, the out-of-scope notice appears where expected, and the API refuses disallowed grants.</w:t>
      </w:r>
    </w:p>
    <w:p>
      <w:pPr>
        <w:pStyle w:val="Heading1"/>
      </w:pPr>
      <w:r>
        <w:t>33. Implementation Status Update 28 (27 August 2026) — Permission-Based Visibility (Hide Unpermitted Operations)</w:t>
      </w:r>
    </w:p>
    <w:p>
      <w:pPr>
        <w:pStyle w:val="BodyText"/>
      </w:pPr>
      <w:r>
        <w:t>Building on the delegated-administration model, the Admin application now HIDES what a user has not been granted rather than only blocking it on submit: an operation a user has not been permitted — whether by the Managing Director, a Branch Manager or an HR Manager — is not shown to them at all.</w:t>
      </w:r>
    </w:p>
    <w:p>
      <w:pPr>
        <w:pStyle w:val="BodyText"/>
      </w:pPr>
      <w:r>
        <w:t>Behaviour:</w:t>
      </w:r>
    </w:p>
    <w:p>
      <w:pPr>
        <w:pStyle w:val="BodyText"/>
      </w:pPr>
      <w:r>
        <w:t>•  Sidebar: a menu item the signed-in user lacks the permission for is not rendered — not greyed, not disabled; a whole category disappears when none of its items are visible.</w:t>
      </w:r>
    </w:p>
    <w:p>
      <w:pPr>
        <w:pStyle w:val="BodyText"/>
      </w:pPr>
      <w:r>
        <w:t>•  Direct URL: typing the address of a screen the user may not see redirects them to the Dashboard; no flash of content.</w:t>
      </w:r>
    </w:p>
    <w:p>
      <w:pPr>
        <w:pStyle w:val="BodyText"/>
      </w:pPr>
      <w:r>
        <w:t>•  Always visible: the Dashboard and the “My HR” employee self-service screens (my profile, clock in/out, my leave, my shifts, my performance, my payslips, my salary advances).</w:t>
      </w:r>
    </w:p>
    <w:p>
      <w:pPr>
        <w:pStyle w:val="BodyText"/>
      </w:pPr>
      <w:r>
        <w:t>•  Platform administrators: holders of identity.user.manage (Super Administrator / IT Administrator) see everything, as they administer the system itself.</w:t>
      </w:r>
    </w:p>
    <w:p>
      <w:pPr>
        <w:pStyle w:val="BodyText"/>
      </w:pPr>
      <w:r>
        <w:t>Mechanism: the login, token-refresh and GET /identity/users/me responses now include the user's effective permission codes (role permissions plus direct grants) — the same set the request guard already enforces. The front end holds one map, ROUTE_CAPABILITIES (mbms/frontend/src/lib/capabilities.js), from each admin route to the permission code(s) that make it meaningful ('*' = always; '__platform_admin__' = platform admins only, used for planned screens with no permission code yet, e.g. Payroll). The sidebar filters its items through this map; RequireAuth checks it on every navigation and redirects to the Dashboard when the target is not permitted; a hasPermission(...) helper is available to screens for finer hiding. The map is the single source for both the menu and the route guard so they cannot drift. While a session saved before this field existed is being re-hydrated (the app re-reads /identity/users/me on load), nothing is blocked client-side — the API still enforces every call.</w:t>
      </w:r>
    </w:p>
    <w:p>
      <w:pPr>
        <w:pStyle w:val="BodyText"/>
      </w:pPr>
      <w:r>
        <w:t>This is presentation and navigation only — no new permission codes, no schema change, no change to what the API allows (every endpoint keeps its own permission check). Verified with the running system: signed in as Sales Manager (product.manage, sales.order.manage, customer.manage, expense.create, expense.approve.manager, leave.approve) the sidebar shows only Dashboard, Product Manager, Order Management, Inventory, Customers (CRM), Marketing &amp; Promos, CMS / Site Builder, Leave Requests, the whole My HR group and Expenses — nothing else — and navigating to /users redirects to the Dashboard.</w:t>
      </w:r>
    </w:p>
    <w:p>
      <w:pPr>
        <w:pStyle w:val="Heading2"/>
      </w:pPr>
      <w:r>
        <w:t>Impact on this document</w:t>
      </w:r>
    </w:p>
    <w:p>
      <w:pPr>
        <w:pStyle w:val="BodyText"/>
      </w:pPr>
      <w:r>
        <w:t>Alpha testing adds a visibility spot-check: run through each persona and confirm the sidebar and reachable routes match the persona's permissions, with no dead or forbidden entries.</w:t>
      </w:r>
    </w:p>
    <w:p>
      <w:pPr>
        <w:pStyle w:val="Heading1"/>
      </w:pPr>
      <w:r>
        <w:t>34. Implementation Status Update 29 (27 August 2026) — Customer Storefront Localisation (Uganda Languages)</w:t>
      </w:r>
    </w:p>
    <w:p>
      <w:pPr>
        <w:pStyle w:val="BodyText"/>
      </w:pPr>
      <w:r>
        <w:t>A customer can now switch the Customer Storefront into any of Uganda's languages from a picker in the header, and on the Landing and Login screens before sign-in. The choice is remembered in that browser (localStorage 'storefront.lang') and also sets the page's HTML lang attribute.</w:t>
      </w:r>
    </w:p>
    <w:p>
      <w:pPr>
        <w:pStyle w:val="BodyText"/>
      </w:pPr>
      <w:r>
        <w:t>Coverage (agreed scope: framework + key strings + English fallback):</w:t>
      </w:r>
    </w:p>
    <w:p>
      <w:pPr>
        <w:pStyle w:val="BodyText"/>
      </w:pPr>
      <w:r>
        <w:t>•  Languages offered: the two official languages (English, Kiswahili) plus Uganda's indigenous languages grouped by family in the picker — Bantu (Luganda, Runyankole, Rukiga, Lusoga, Rutooro, Lumasaba, Kinyarwanda), Nilotic (Ateso, Acholi, Lango, Karamojong, Alur, Kakwa) and Central Sudanic (Lugbara, Ma'di, Aringa).</w:t>
      </w:r>
    </w:p>
    <w:p>
      <w:pPr>
        <w:pStyle w:val="BodyText"/>
      </w:pPr>
      <w:r>
        <w:t>•  Translated now: English is the complete baseline; Kiswahili and Luganda cover the key UI strings (navigation, header, buttons, page headings, common labels); Runyankole and Acholi are partial.</w:t>
      </w:r>
    </w:p>
    <w:p>
      <w:pPr>
        <w:pStyle w:val="BodyText"/>
      </w:pPr>
      <w:r>
        <w:t>•  Fallback: any string not yet translated for the chosen language renders in English, key by key, so a page is never half-blank; untranslated languages are listed and marked accordingly for translators to fill.</w:t>
      </w:r>
    </w:p>
    <w:p>
      <w:pPr>
        <w:pStyle w:val="BodyText"/>
      </w:pPr>
      <w:r>
        <w:t>•  Not translated in this pass: long body / marketing prose, and any server-generated text (statuses, e-mails) — the preference is applied in the browser only; no API response changes.</w:t>
      </w:r>
    </w:p>
    <w:p>
      <w:pPr>
        <w:pStyle w:val="BodyText"/>
      </w:pPr>
      <w:r>
        <w:t>Mechanism: mbms/storefront/src/locales/index.js holds LANGUAGE_LIST (code, English label, local name, language family) and LOCALES — one flat key-to-string table per language, with the English table complete. mbms/storefront/src/lib/i18n.jsx provides an I18nProvider (reads and persists the choice, sets document lang) and a t(key, vars) helper that returns the chosen language's string, else English, else the key, interpolating {name}-style placeholders. A LanguageSwitcher component (grouped by family) sits in the storefront header and on the Landing and Login screens; all eleven storefront pages call t() for their navigation, headings and primary buttons.</w:t>
      </w:r>
    </w:p>
    <w:p>
      <w:pPr>
        <w:pStyle w:val="BodyText"/>
      </w:pPr>
      <w:r>
        <w:t>No back-end, database or API change — the language preference lives only in the customer's browser. Verified with the running storefront: the home page in Luganda (navigation “Awaka / Edduuka / Ebiragiro Byange / Inivoosi n'Ebisasulo / Obuyambi / Akakawunti Kange”, welcome “Tukwanirizza nate, …”) and the login screen in Kiswahili (“Barua pepe au Nambari ya Akaunti”, “Nywila”, “Ingia”); switching to a not-yet-translated language falls back to English cleanly.</w:t>
      </w:r>
    </w:p>
    <w:p>
      <w:pPr>
        <w:pStyle w:val="Heading2"/>
      </w:pPr>
      <w:r>
        <w:t>Impact on this document</w:t>
      </w:r>
    </w:p>
    <w:p>
      <w:pPr>
        <w:pStyle w:val="BodyText"/>
      </w:pPr>
      <w:r>
        <w:t>Alpha testing adds a quick pass through the storefront in two or three languages, checking layout holds with longer translated strings and that nothing is blank.</w:t>
      </w:r>
    </w:p>
    <w:p>
      <w:pPr>
        <w:pStyle w:val="Heading1"/>
      </w:pPr>
      <w:r>
        <w:t>35. Implementation Status Update 30 (27 August 2026) — Storefront Localisation Extended to World Languages</w:t>
      </w:r>
    </w:p>
    <w:p>
      <w:pPr>
        <w:pStyle w:val="BodyText"/>
      </w:pPr>
      <w:r>
        <w:t>The Customer Storefront language picker, introduced the same day for Uganda's languages, is extended to the major languages of every continent — 43 languages in total. The picker groups them: Uganda's language families first, then Africa, Asia, Europe, the Americas and Oceania.</w:t>
      </w:r>
    </w:p>
    <w:p>
      <w:pPr>
        <w:pStyle w:val="BodyText"/>
      </w:pPr>
      <w:r>
        <w:t>What changed from the Uganda-languages pass:</w:t>
      </w:r>
    </w:p>
    <w:p>
      <w:pPr>
        <w:pStyle w:val="BodyText"/>
      </w:pPr>
      <w:r>
        <w:t>•  Languages added: Africa — Arabic, Hausa, Yoruba, Igbo, Amharic, Zulu; Asia — Mandarin Chinese, Hindi, Bengali, Japanese, Indonesian, Russian, Turkish; Europe — German, French, Spanish, Italian; the Americas — Portuguese, Quechua, Guarani; Oceania — Tok Pisin, Māori, Samoan, Tongan, Fijian.</w:t>
      </w:r>
    </w:p>
    <w:p>
      <w:pPr>
        <w:pStyle w:val="BodyText"/>
      </w:pPr>
      <w:r>
        <w:t>•  Now translated (key UI): in addition to English (complete), Kiswahili and Luganda, the key UI strings are translated for French, Spanish, Portuguese, German, Italian and Arabic; Runyankole and Acholi remain partial; every other language falls back to English key by key.</w:t>
      </w:r>
    </w:p>
    <w:p>
      <w:pPr>
        <w:pStyle w:val="BodyText"/>
      </w:pPr>
      <w:r>
        <w:t>•  Right-to-left: Arabic is the first right-to-left language; selecting it flips the document direction (the HTML dir attribute) and a small dir='rtl' block in the stylesheet corrects the few physically-placed elements. Any right-to-left language added later behaves the same way.</w:t>
      </w:r>
    </w:p>
    <w:p>
      <w:pPr>
        <w:pStyle w:val="BodyText"/>
      </w:pPr>
      <w:r>
        <w:t>•  Unchanged: still a front-end-only change — the preference lives in the customer's browser; no API, database schema or migration is affected, and server-generated text is not translated in this pass.</w:t>
      </w:r>
    </w:p>
    <w:p>
      <w:pPr>
        <w:pStyle w:val="BodyText"/>
      </w:pPr>
      <w:r>
        <w:t>Mechanism: LANGUAGE_LIST in mbms/storefront/src/locales/index.js gains the world languages (each with a code, English label, local/native name and a group), plus an optional dir: 'rtl' marker and a dirForLang() helper. LOCALES gains a translated key-string table for fr, es, pt, de, it and ar, and an empty (English-fallback) entry for every other new code. lib/i18n.jsx now also sets document.documentElement.dir on each language change. LanguageSwitcher already groups by the region field, so it renders the new continent groups without change. No storefront page needed editing — they were already wired to t() in the previous pass.</w:t>
      </w:r>
    </w:p>
    <w:p>
      <w:pPr>
        <w:pStyle w:val="BodyText"/>
      </w:pPr>
      <w:r>
        <w:t>Verified with the running storefront: the home page in French (navigation “Accueil / Boutique / Mes commandes / Factures et paiements / Assistance / Mon compte”, welcome “Bon retour, …”), and the login and home screens in Arabic with the entire layout mirrored right-to-left (“تسجيل الدخول”, “البريد الإلكتروني أو رقم الحساب”). Languages without a translation yet fall back to English cleanly.</w:t>
      </w:r>
    </w:p>
    <w:p>
      <w:pPr>
        <w:pStyle w:val="Heading2"/>
      </w:pPr>
      <w:r>
        <w:t>Impact on this document</w:t>
      </w:r>
    </w:p>
    <w:p>
      <w:pPr>
        <w:pStyle w:val="BodyText"/>
      </w:pPr>
      <w:r>
        <w:t>Alpha testing adds a quick pass in French and Arabic checking layout under longer strings and under right-to-left mirroring, and that nothing is blank in a not-yet-translated language.</w:t>
      </w:r>
    </w:p>
    <w:p>
      <w:pPr>
        <w:pStyle w:val="Heading1"/>
      </w:pPr>
      <w:r>
        <w:t>36. Implementation Status Update 31 (27 August 2026) — Full Storefront Localisation (Every Screen)</w:t>
      </w:r>
    </w:p>
    <w:p>
      <w:pPr>
        <w:pStyle w:val="BodyText"/>
      </w:pPr>
      <w:r>
        <w:t>When a customer changes language, the WHOLE Customer Storefront now changes, not only the navigation and page headings. Every visible string was pulled into the translation catalogue and every storefront component was wired to render through it.</w:t>
      </w:r>
    </w:p>
    <w:p>
      <w:pPr>
        <w:pStyle w:val="BodyText"/>
      </w:pPr>
      <w:r>
        <w:t>What this pass covered:</w:t>
      </w:r>
    </w:p>
    <w:p>
      <w:pPr>
        <w:pStyle w:val="BodyText"/>
      </w:pPr>
      <w:r>
        <w:t>•  Full string extraction: about 190 keys covering all eleven storefront pages, the shared Layout, and the public Landing page (hero, feature cards, the how-it-works steps, footer and the full five-point disclaimer modal).</w:t>
      </w:r>
    </w:p>
    <w:p>
      <w:pPr>
        <w:pStyle w:val="BodyText"/>
      </w:pPr>
      <w:r>
        <w:t>•  Every UI element keyed: form labels, input placeholders, empty-state messages, table headers, buttons, breadcrumb trails, error and success banners, and the order / invoice / ticket status and priority badges (new tStatus() / tPriority() helpers, replacing the raw UPPER-CASE humaniser for any value present in the catalogue).</w:t>
      </w:r>
    </w:p>
    <w:p>
      <w:pPr>
        <w:pStyle w:val="BodyText"/>
      </w:pPr>
      <w:r>
        <w:t>•  Nine languages complete: English is the baseline; Kiswahili, Luganda, French, Spanish, Portuguese, German, Italian and Arabic are now translated in full, so selecting any of them changes every screen. Runyankole and Acholi remain partial; all other languages fall back to English string by string.</w:t>
      </w:r>
    </w:p>
    <w:p>
      <w:pPr>
        <w:pStyle w:val="BodyText"/>
      </w:pPr>
      <w:r>
        <w:t>•  Unchanged: still a front-end-only change — no API, database schema or migration is affected. Server-supplied data (company names, product names, monetary amounts) is shown exactly as the API returns it.</w:t>
      </w:r>
    </w:p>
    <w:p>
      <w:pPr>
        <w:pStyle w:val="BodyText"/>
      </w:pPr>
      <w:r>
        <w:t>Mechanism: the catalogue was split for maintainability into mbms/storefront/src/locales/en.js (the complete key set), eu.js (French, Spanish, Portuguese, German, Italian) and regional.js (Swahili, Luganda, Arabic in full; Runyankole and Acholi partial), assembled by locales/index.js which also exposes FULLY_TRANSLATED_LANGS. lib/i18n.jsx gained tStatus() and tPriority(), which look up status.* / priority.* keys and fall back to the previous humanised form for any enum not in the catalogue. Every page component (Home, Shop, Product Detail, Cart, Orders, Invoices, Make Payment, Support, Account, Login, Landing) now renders exclusively through t() / tStatus() / tPriority(); lib/format.js's statusLabel is no longer used by the UI.</w:t>
      </w:r>
    </w:p>
    <w:p>
      <w:pPr>
        <w:pStyle w:val="BodyText"/>
      </w:pPr>
      <w:r>
        <w:t>Verified against the running storefront: the French Orders screen (status column, order tracker steps, filter and buttons all translated), the German Account screen (every field label, payment terms, add-address button), and the Arabic Home screen — each rendered entirely in the chosen language, with Arabic mirrored right-to-left, and only server-supplied data left in its original form. Selecting a not-yet-translated language leaves each individual string in English rather than blank.</w:t>
      </w:r>
    </w:p>
    <w:p>
      <w:pPr>
        <w:pStyle w:val="Heading2"/>
      </w:pPr>
      <w:r>
        <w:t>Impact on this document</w:t>
      </w:r>
    </w:p>
    <w:p>
      <w:pPr>
        <w:pStyle w:val="BodyText"/>
      </w:pPr>
      <w:r>
        <w:t>Alpha testing adds an exhaustive click-through of the storefront in two fully translated languages (one left-to-right, one right-to-left) checking every screen for untranslated text and for layout under longer strings.</w:t>
      </w:r>
    </w:p>
    <w:p>
      <w:pPr>
        <w:pStyle w:val="Heading1"/>
      </w:pPr>
      <w:r>
        <w:t>37. Implementation Status Update 32 (27 August 2026) — Database Content Localisation (Read in Language, Store in English)</w:t>
      </w:r>
    </w:p>
    <w:p>
      <w:pPr>
        <w:pStyle w:val="BodyText"/>
      </w:pPr>
      <w:r>
        <w:t>Localisation now reaches the data, not only the interface. A customer sees database values in the language they chose, and anything a customer types is stored in English — with their exact original wording kept alongside so nothing is lost.</w:t>
      </w:r>
    </w:p>
    <w:p>
      <w:pPr>
        <w:pStyle w:val="BodyText"/>
      </w:pPr>
      <w:r>
        <w:t>The two directions:</w:t>
      </w:r>
    </w:p>
    <w:p>
      <w:pPr>
        <w:pStyle w:val="BodyText"/>
      </w:pPr>
      <w:r>
        <w:t>•  Read — data shown in the customer's language: the storefront sends an Accept-Language header on every request; the customer-portal endpoints map product and category names, units of measure, and the glossary-reachable parts of descriptions and support-ticket text into that language on the way out. Database rows are unchanged.</w:t>
      </w:r>
    </w:p>
    <w:p>
      <w:pPr>
        <w:pStyle w:val="BodyText"/>
      </w:pPr>
      <w:r>
        <w:t>•  Write — customer input stored in English: when a customer submits a support ticket, a ticket reply or a delivery address in another language, the text is normalised to English for storage; the row keeps a source_language marker and *_original columns holding the customer's exact words. The customer sees their own wording back while browsing in that language; staff see and store English, with a “show customer's original” toggle on the Support Tickets screen.</w:t>
      </w:r>
    </w:p>
    <w:p>
      <w:pPr>
        <w:pStyle w:val="BodyText"/>
      </w:pPr>
      <w:r>
        <w:t>•  Curated glossary: a bidirectional phrase- and token-level map covers the finite storefront vocabulary — category names, units, address words, and the recurring tokens in product names. Order / invoice / ticket status and priority values are covered by the existing UI catalogue, not the glossary.</w:t>
      </w:r>
    </w:p>
    <w:p>
      <w:pPr>
        <w:pStyle w:val="BodyText"/>
      </w:pPr>
      <w:r>
        <w:t>•  Free-form prose: arbitrary text outside the glossary passes through a TranslationProvider seam whose bundled implementation is a no-op — this proof-of-concept is offline with no translation service. A real provider (a hosted MT service or an LLM) plugs in there and is selected with CONTENT_TRANSLATION_PROVIDER.</w:t>
      </w:r>
    </w:p>
    <w:p>
      <w:pPr>
        <w:pStyle w:val="BodyText"/>
      </w:pPr>
      <w:r>
        <w:t>Mechanism: a new mbms/backend/src/common/translation module — content-glossary.ts (the bidirectional vocabulary), translation.provider.ts (the provider interface plus the no-op IdentityTranslationProvider), content-translation.service.ts (resolveLang from Accept-Language, toLocale for read, toEnglish for write) and a @Global translation.module.ts. One Prisma migration (content_translation_originals) adds source_language and *_original columns to support_tickets, ticket_messages and delivery_addresses. The customer-portal catalog, support and account controllers read the header; SupportService and CustomerAccountService normalise inbound text and persist the originals; the staff SupportService resource and the admin Support Tickets screen expose them.</w:t>
      </w:r>
    </w:p>
    <w:p>
      <w:pPr>
        <w:pStyle w:val="BodyText"/>
      </w:pPr>
      <w:r>
        <w:t>Verified against the running API: catalogue categories return as “Pembejeo za Kilimo / Mafuta / Ghala” in Swahili and product names token-translate (“Maïs Semence — 25kg Sac” in French); a support ticket written in Luganda is stored with an English subject/description, source_language 'lg', and the Luganda originals preserved — the customer still sees their own words, and the same customer viewing in French gets the English glossary-translated into French, not the Luganda original.</w:t>
      </w:r>
    </w:p>
    <w:p>
      <w:pPr>
        <w:pStyle w:val="Heading2"/>
      </w:pPr>
      <w:r>
        <w:t>Impact on this document</w:t>
      </w:r>
    </w:p>
    <w:p>
      <w:pPr>
        <w:pStyle w:val="BodyText"/>
      </w:pPr>
      <w:r>
        <w:t>Alpha testing adds a pass in one or two supported languages checking that catalogue text is translated, that a ticket / address written in-language stores English + original, and that no data is lost on the round trip.</w:t>
      </w:r>
    </w:p>
    <w:p>
      <w:pPr>
        <w:pStyle w:val="Heading1"/>
      </w:pPr>
      <w:r>
        <w:t>38. Implementation Status Update 33 (27 August 2026) — Currency &amp; Figure Localisation (Convert for Display, Store Canonical)</w:t>
      </w:r>
    </w:p>
    <w:p>
      <w:pPr>
        <w:pStyle w:val="BodyText"/>
      </w:pPr>
      <w:r>
        <w:t>Localisation now covers money and numerals. A customer sees amounts and figures in the form their language expects; the database keeps a single canonical form (English words, Uganda Shillings, Western 0-9 digits).</w:t>
      </w:r>
    </w:p>
    <w:p>
      <w:pPr>
        <w:pStyle w:val="BodyText"/>
      </w:pPr>
      <w:r>
        <w:t>The behaviour:</w:t>
      </w:r>
    </w:p>
    <w:p>
      <w:pPr>
        <w:pStyle w:val="BodyText"/>
      </w:pPr>
      <w:r>
        <w:t>•  Currency conversion for display: amounts come from the API in Uganda Shillings (UGX). When the customer's chosen language belongs to a region that uses another currency, the storefront converts the amount and formats it for that locale — currency name, value, thousands grouping and decimal mark all follow it. Uganda's languages keep UGX unchanged.</w:t>
      </w:r>
    </w:p>
    <w:p>
      <w:pPr>
        <w:pStyle w:val="BodyText"/>
      </w:pPr>
      <w:r>
        <w:t>•  Numerals in the language's script: digits in localised database text (for example the “25kg” inside a translated product name) and standalone figures (quantities, stock, dashboard counts) are shown in the language's own digit script where it has one — Arabic-Indic for Arabic, Western for the rest.</w:t>
      </w:r>
    </w:p>
    <w:p>
      <w:pPr>
        <w:pStyle w:val="BodyText"/>
      </w:pPr>
      <w:r>
        <w:t>•  Fixed demo rates: conversion uses single constant rates (UGX per unit: USD 3800, EUR 4150, AED 1022, BRL 700), consistent with the existing “no live FX feed” position for this proof-of-concept; a real feed replaces the constants.</w:t>
      </w:r>
    </w:p>
    <w:p>
      <w:pPr>
        <w:pStyle w:val="BodyText"/>
      </w:pPr>
      <w:r>
        <w:t>•  Storage stays canonical: nothing about the stored data changes — monetary columns remain UGX, and any numeral a customer types in a non-Western script is transliterated to 0-9 before storage (their original characters are kept in the *_original columns from the previous change).</w:t>
      </w:r>
    </w:p>
    <w:p>
      <w:pPr>
        <w:pStyle w:val="BodyText"/>
      </w:pPr>
      <w:r>
        <w:t>Mechanism: mbms/storefront/src/lib/format.js gains locale-aware helpers — money() (currency conversion + Intl.NumberFormat with currencyDisplay:'name'), figure() (locale-formatted integers) and localizeDigits() — driven by CURRENCY_BY_LANG, UGX_PER_UNIT and LOCALE_TAG maps. On the backend, ContentTranslationService.toLocale also transliterates digits in text for scripts that need it (DIGIT_SCRIPTS), and toEnglish runs toWesternDigits on every inbound string first — even for an otherwise-unsupported language — so “٥” is stored as “5”. No database schema change and no new endpoint.</w:t>
      </w:r>
    </w:p>
    <w:p>
      <w:pPr>
        <w:pStyle w:val="BodyText"/>
      </w:pPr>
      <w:r>
        <w:t>Verified against the running storefront: in Arabic, catalogue prices read as “93.93 درهم إماراتي” with Arabic-Indic digits in product names (“… ١٠kg …”); in French, every amount is EUR with fr-FR formatting (“3 687,04 euros”). A support ticket typed in Arabic with Arabic-Indic digits is stored with Western digits and the exact original preserved.</w:t>
      </w:r>
    </w:p>
    <w:p>
      <w:pPr>
        <w:pStyle w:val="Heading2"/>
      </w:pPr>
      <w:r>
        <w:t>Impact on this document</w:t>
      </w:r>
    </w:p>
    <w:p>
      <w:pPr>
        <w:pStyle w:val="BodyText"/>
      </w:pPr>
      <w:r>
        <w:t>Alpha testing adds a quick check in one currency-changing language and Arabic: amounts convert and format correctly, digits render in-script, and a figure typed in Arabic-Indic digits is stored as Western.</w:t>
      </w:r>
    </w:p>
    <w:p>
      <w:pPr>
        <w:pStyle w:val="Heading1"/>
      </w:pPr>
      <w:r>
        <w:t>39. Implementation Status Update 34 (27 August 2026) — Subsidiary Lifecycle &amp; Clearing / Forwarding Subsidiary</w:t>
      </w:r>
    </w:p>
    <w:p>
      <w:pPr>
        <w:pStyle w:val="BodyText"/>
      </w:pPr>
      <w:r>
        <w:t>The Managing Director asked to be able to view, create, update, delete and activate/deactivate subsidiaries and everything under them (users, branches, departments, policies), and to set up a new Clearing, Forwarding &amp; Logistics subsidiary. Both are done: the subsidiary lifecycle is fully manageable, and “Morise Clearing &amp; Forwarding Ltd” now exists as a real subsidiary.</w:t>
      </w:r>
    </w:p>
    <w:p>
      <w:pPr>
        <w:pStyle w:val="BodyText"/>
      </w:pPr>
      <w:r>
        <w:t>What was delivered:</w:t>
      </w:r>
    </w:p>
    <w:p>
      <w:pPr>
        <w:pStyle w:val="BodyText"/>
      </w:pPr>
      <w:r>
        <w:t>•  MD gains full company + user administration: the Managing Director role now holds organization.company.manage and identity.user.manage in addition to its group-wide view, so an MD can create and change subsidiaries and the users, branches, departments and policies under them (previously view-only).</w:t>
      </w:r>
    </w:p>
    <w:p>
      <w:pPr>
        <w:pStyle w:val="BodyText"/>
      </w:pPr>
      <w:r>
        <w:t>•  Delete and execute controls added: new endpoints — DELETE /organization/companies/{id} (and the same for branches, departments and policies), plus POST .../companies/{id}/activate and /deactivate. A company can only be hard-deleted once it is genuinely empty; otherwise the response says to deactivate it instead. The root holding company can never be deleted or deactivated. Every action is audited (organization.*.deleted / .updated).</w:t>
      </w:r>
    </w:p>
    <w:p>
      <w:pPr>
        <w:pStyle w:val="BodyText"/>
      </w:pPr>
      <w:r>
        <w:t>•  Admin UI: the Companies list gains per-row Activate/Deactivate and Delete for subsidiaries; the Company detail screen gains Delete on each branch, department and policy row and Activate/Deactivate/Delete for the subsidiary itself. All gated to Managing Director / Super Administrator / IT Administrator.</w:t>
      </w:r>
    </w:p>
    <w:p>
      <w:pPr>
        <w:pStyle w:val="BodyText"/>
      </w:pPr>
      <w:r>
        <w:t>•  New subsidiary seeded: Morise Clearing &amp; Forwarding Ltd — wholly-owned (100%), UGX — with six border/airport branches (Kampala HQ, Malaba, Busia, Entebbe Airport, Mutukula, Elegu), eight departments (Customs Clearance, Freight Forwarding, Warehousing, Logistics &amp; Supply Chain, Export Facilitation, Fleet Management, Client Services, Finance &amp; Billing) and four starter policies (KYC, disbursement pre-funding, demurrage escalation, tax/levy rate configuration).</w:t>
      </w:r>
    </w:p>
    <w:p>
      <w:pPr>
        <w:pStyle w:val="BodyText"/>
      </w:pPr>
      <w:r>
        <w:t>The subsidiary's multi-module clearing/forwarding/logistics system — sixteen feature areas covering client &amp; CRM, job files, customs clearance with the URA duty/tax engine, freight forwarding, logistics &amp; supply chain, export facilitation, warehousing, multi-branch management, finance &amp; billing, document management, tracking &amp; notifications, reporting &amp; analytics, compliance &amp; risk, integrations, mobile apps and administration/security — is specified in a new document, 19_Clearing, Forwarding and Logistics System — Feature Specification, with a five-phase delivery backlog. None of those modules are built in the current MBMS slice; where the platform already has a capability (identity, org, finance, audit, notifications) the subsidiary will reuse it.</w:t>
      </w:r>
    </w:p>
    <w:p>
      <w:pPr>
        <w:pStyle w:val="BodyText"/>
      </w:pPr>
      <w:r>
        <w:t>Changes: backend organization service — companies/branches/departments/policies services and controllers gain remove(), companies gains setStatus() with activate/deactivate endpoints; seed.ts grants the MD role the two permissions and seeds the subsidiary org structure; admin frontend Companies.jsx and CompanyDetail.jsx gain the delete / activate-deactivate controls. No schema change. Verified end-to-end: the MD created, updated, added branch/department/policy to and deleted a test subsidiary, activated/deactivated it, and was correctly blocked (409, “deactivate instead”) from deleting the populated Clearing &amp; Forwarding subsidiary.</w:t>
      </w:r>
    </w:p>
    <w:p>
      <w:pPr>
        <w:pStyle w:val="Heading2"/>
      </w:pPr>
      <w:r>
        <w:t>Impact on this document</w:t>
      </w:r>
    </w:p>
    <w:p>
      <w:pPr>
        <w:pStyle w:val="BodyText"/>
      </w:pPr>
      <w:r>
        <w:t>Alpha testing adds an operational-readiness check on the subsidiary lifecycle: create, populate, deactivate, reactivate and delete-guard behaviour, and confirmation that the audit trail captures each step.</w:t>
      </w:r>
    </w:p>
    <w:p>
      <w:pPr>
        <w:pStyle w:val="Heading1"/>
      </w:pPr>
      <w:r>
        <w:t>40. Implementation Status Update 35 (27 August 2026) — Warehouse Management Subsidiary</w:t>
      </w:r>
    </w:p>
    <w:p>
      <w:pPr>
        <w:pStyle w:val="BodyText"/>
      </w:pPr>
      <w:r>
        <w:t>Using the subsidiary-lifecycle capability delivered in the previous change, the Managing Director set up a second new subsidiary: a multi-branch warehouse operation for Uganda. It exists as a real, manageable subsidiary; its Warehouse Management System is specified as future scope.</w:t>
      </w:r>
    </w:p>
    <w:p>
      <w:pPr>
        <w:pStyle w:val="BodyText"/>
      </w:pPr>
      <w:r>
        <w:t>What was delivered:</w:t>
      </w:r>
    </w:p>
    <w:p>
      <w:pPr>
        <w:pStyle w:val="BodyText"/>
      </w:pPr>
      <w:r>
        <w:t>•  New subsidiary seeded: Morise Warehouse Management Ltd — wholly-owned (100%), UGX — a subsidiary of Morise Holdings Limited.</w:t>
      </w:r>
    </w:p>
    <w:p>
      <w:pPr>
        <w:pStyle w:val="BodyText"/>
      </w:pPr>
      <w:r>
        <w:t>•  Branches: five warehouse branches: Kampala Central, Jinja, Mbarara, Gulu and Mbale.</w:t>
      </w:r>
    </w:p>
    <w:p>
      <w:pPr>
        <w:pStyle w:val="BodyText"/>
      </w:pPr>
      <w:r>
        <w:t>•  Departments: nine: Branch Operations, Inventory Control, Receiving &amp; Putaway, Order Fulfilment, Yard &amp; Dock, Reporting &amp; BI, IT &amp; Integrations, Compliance &amp; Security, and Field &amp; Mobile Operations.</w:t>
      </w:r>
    </w:p>
    <w:p>
      <w:pPr>
        <w:pStyle w:val="BodyText"/>
      </w:pPr>
      <w:r>
        <w:t>•  Starter policies: FEFO/FIFO stock rotation, cycle-count schedule, write-off &amp; transfer approval threshold, EFRIS/VAT configuration, and offline operation &amp; sync.</w:t>
      </w:r>
    </w:p>
    <w:p>
      <w:pPr>
        <w:pStyle w:val="BodyText"/>
      </w:pPr>
      <w:r>
        <w:t>The subsidiary's Warehouse Management System — twelve feature areas covering multi-location &amp; branch management, core inventory (batch/lot, serial, multi-UOM, cycle counting, ABC), receiving &amp; putaway with barcode scanning and cross-docking, order fulfilment (wave/zone picking, kitting, manifests, carrier integration), Uganda-specific features (multi-currency, 18% VAT with EFRIS/URA, mobile money, offline mode, Luganda/Swahili/Runyankole-Rukiga interfaces, power-outage resilience, road-condition alerts), yard &amp; dock management, reporting &amp; BI, integrations &amp; APIs, mobile &amp; field capabilities, security &amp; compliance (aligned with the Data Protection and Privacy Act 2019), advanced/future-ready features (AI forecasting, IoT cold-chain, RFID, AGV, blockchain traceability) and user management &amp; workflow — is specified in a new document, 20_Warehouse Management System (WMS) — Feature Specification, with a five-phase delivery backlog. None of those modules are built in the current MBMS slice; the WMS reuses the platform's identity, organisation, finance, audit, notification and localisation capabilities where they already exist.</w:t>
      </w:r>
    </w:p>
    <w:p>
      <w:pPr>
        <w:pStyle w:val="BodyText"/>
      </w:pPr>
      <w:r>
        <w:t>Changes: seed.ts seeds the subsidiary org structure (company, 5 branches, 9 departments, 5 policies) under the holding company. No code or schema change — the Managing Director already has full create/update/delete/activate over subsidiaries and their branches, departments and policies from the previous change. Verified: as the Managing Director, the subsidiary and all five branches, nine departments and five policies are visible and manageable through the admin Companies screens.</w:t>
      </w:r>
    </w:p>
    <w:p>
      <w:pPr>
        <w:pStyle w:val="Heading2"/>
      </w:pPr>
      <w:r>
        <w:t>Impact on this document</w:t>
      </w:r>
    </w:p>
    <w:p>
      <w:pPr>
        <w:pStyle w:val="BodyText"/>
      </w:pPr>
      <w:r>
        <w:t>Alpha testing: a quick check that the new subsidiary and its structure load correctly in the admin Companies screens and that the audit trail recorded its creation.</w:t>
      </w:r>
    </w:p>
    <w:p>
      <w:pPr>
        <w:pStyle w:val="Heading1"/>
      </w:pPr>
      <w:r>
        <w:t>41. Implementation Status Update 36 (28 August 2026) — Inventory Section Activated</w:t>
      </w:r>
    </w:p>
    <w:p>
      <w:pPr>
        <w:pStyle w:val="BodyText"/>
      </w:pPr>
      <w:r>
        <w:t>The Admin sidebar's Inventory item, under ADMIN / BACKEND, was a “Coming Soon” placeholder from the navigation redesign. It is now a working screen: company-level stock on hand, per-product re-order points, stock adjustments and an immutable movement ledger.</w:t>
      </w:r>
    </w:p>
    <w:p>
      <w:pPr>
        <w:pStyle w:val="BodyText"/>
      </w:pPr>
      <w:r>
        <w:t>What was delivered:</w:t>
      </w:r>
    </w:p>
    <w:p>
      <w:pPr>
        <w:pStyle w:val="BodyText"/>
      </w:pPr>
      <w:r>
        <w:t>•  Stock on hand: each product keeps one stock-on-hand figure (products.stock_quantity). The Inventory screen lists every product with its code, category, unit of measure, on-hand quantity, unit price, stock value and a status of In stock / Low / Out of stock.</w:t>
      </w:r>
    </w:p>
    <w:p>
      <w:pPr>
        <w:pStyle w:val="BodyText"/>
      </w:pPr>
      <w:r>
        <w:t>•  Re-order points: a new products.reorder_point column. A product at or below its re-order point is flagged Low; at zero it is flagged Out of stock. Set or cleared from the screen (PUT /inventory/products/{id}/reorder-point).</w:t>
      </w:r>
    </w:p>
    <w:p>
      <w:pPr>
        <w:pStyle w:val="BodyText"/>
      </w:pPr>
      <w:r>
        <w:t>•  Stock adjustments: POST /inventory/adjustments records one change: receipt (goods in, adds), issue (goods out, subtracts, with an over-issue guard — 409 if more than is in stock), or count (a physical count; the counted figure becomes the on-hand and the signed difference is recorded). Requires product.manage.</w:t>
      </w:r>
    </w:p>
    <w:p>
      <w:pPr>
        <w:pStyle w:val="BodyText"/>
      </w:pPr>
      <w:r>
        <w:t>•  Movement ledger: a new stock_movements table (with a StockMovementType enum: receipt / issue / count). Every adjustment writes an immutable row — signed quantity, resulting balance, reason, reference, user and timestamp — shown newest-first on the screen's Movements tab and readable at GET /inventory/movements.</w:t>
      </w:r>
    </w:p>
    <w:p>
      <w:pPr>
        <w:pStyle w:val="BodyText"/>
      </w:pPr>
      <w:r>
        <w:t>•  Access &amp; audit: reads are scoped per BR-01 exactly like the product list (a user sees stock only for companies in their scope, unless they hold product.viewAll group-wide). Every adjustment and threshold change is written to the audit trail (inventory.stock.adjusted, inventory.reorder_point.updated).</w:t>
      </w:r>
    </w:p>
    <w:p>
      <w:pPr>
        <w:pStyle w:val="BodyText"/>
      </w:pPr>
      <w:r>
        <w:t>Backend: a new module, src/inventory (controller, service, DTOs), registered in app.module.ts. Migration 20260828120000_inventory_stock_movements adds products.reorder_point, the stock_movements table and the StockMovementType enum. The seed gives the catalogue products a re-order point and an opening-balance movement so the screen and ledger have content on a fresh database.</w:t>
      </w:r>
    </w:p>
    <w:p>
      <w:pPr>
        <w:pStyle w:val="BodyText"/>
      </w:pPr>
      <w:r>
        <w:t>Frontend: a new page, src/pages/Inventory.jsx, replacing the &lt;ComingSoon&gt; stub for /inventory in App.jsx; the sidebar entry loses its “Soon” badge. KPI tiles (stock-keeping units, low stock, out of stock, total stock value), a company selector, search and a low/out-of-stock filter, an Adjust dialog (type, quantity, reason, reference, with the projected new on-hand shown) and a Re-order point dialog. The route is permission-filtered like every other admin screen — visible to holders of product.viewAll or product.manage.</w:t>
      </w:r>
    </w:p>
    <w:p>
      <w:pPr>
        <w:pStyle w:val="BodyText"/>
      </w:pPr>
      <w:r>
        <w:t>Scope boundary: this is company-level inventory only — one stock figure per product. Per-branch stock balances, bin/location tracking and inter-branch transfers remain Warehouse Management System scope (20_Warehouse Management System (WMS) — Feature Specification, Module 2 “Core Inventory Management”); this Update is the first working slice of that module on the shared platform. No change to roles or permissions — the existing product.viewAll / product.manage pair gates the screen.</w:t>
      </w:r>
    </w:p>
    <w:p>
      <w:pPr>
        <w:pStyle w:val="Heading2"/>
      </w:pPr>
      <w:r>
        <w:t>Impact on this document</w:t>
      </w:r>
    </w:p>
    <w:p>
      <w:pPr>
        <w:pStyle w:val="BodyText"/>
      </w:pPr>
      <w:r>
        <w:t>Alpha testing: smoke the four endpoints and the screen — stock list loads with correct valuation and status, an adjustment of each type persists and updates the on-hand, the over-issue guard fires, and the movement ledger renders newest-first.</w:t>
      </w:r>
    </w:p>
    <w:p>
      <w:pPr>
        <w:pStyle w:val="Heading1"/>
      </w:pPr>
      <w:r>
        <w:t>42. Implementation Status Update 37 (28 August 2026) — Marketing &amp; Promos and CMS / Site Builder Activated</w:t>
      </w:r>
    </w:p>
    <w:p>
      <w:pPr>
        <w:pStyle w:val="BodyText"/>
      </w:pPr>
      <w:r>
        <w:t>Two more ADMIN / BACKEND placeholders — Marketing &amp; Promos and CMS / Site Builder — are now working screens, and the customer storefront consumes both.</w:t>
      </w:r>
    </w:p>
    <w:p>
      <w:pPr>
        <w:pStyle w:val="BodyText"/>
      </w:pPr>
      <w:r>
        <w:t>What was delivered:</w:t>
      </w:r>
    </w:p>
    <w:p>
      <w:pPr>
        <w:pStyle w:val="BodyText"/>
      </w:pPr>
      <w:r>
        <w:t>•  Discount codes: a new discount_codes table (DiscountType percentage/fixed, DiscountCodeStatus). Staff create codes with a value, optional minimum order, validity window and redemption cap; the storefront validates a code at the cart (POST /customer-portal/discount-codes/validate) and the order-placement path re-validates and redeems it once, taking the discount off the subtotal before VAT and delivery. Orders gain discount_code and discount_amount columns.</w:t>
      </w:r>
    </w:p>
    <w:p>
      <w:pPr>
        <w:pStyle w:val="BodyText"/>
      </w:pPr>
      <w:r>
        <w:t>•  Promo banners: a new promo_banners table. Staff manage heading, body, link, placement, schedule and active flag; the storefront home renders the currently-live banners (GET /customer-portal/promo-banners).</w:t>
      </w:r>
    </w:p>
    <w:p>
      <w:pPr>
        <w:pStyle w:val="BodyText"/>
      </w:pPr>
      <w:r>
        <w:t>•  CMS content pages: a new content_blocks table (ContentBlockStatus draft/published). Each page has a working copy and a published snapshot; editing never affects what the storefront serves until Publish. The storefront renders published pages at /page/{slug} (GET /customer-portal/content, /content/{slug}) — About, Terms, Delivery are seeded.</w:t>
      </w:r>
    </w:p>
    <w:p>
      <w:pPr>
        <w:pStyle w:val="BodyText"/>
      </w:pPr>
      <w:r>
        <w:t>•  Access &amp; audit: two new permission pairs — marketing.manage / marketing.viewAll (operations domain) and cms.manage / cms.viewAll (governance domain). Reads need the viewAll or the manage code; writes need manage. Discount codes and banners are per-company and scoped per BR-01; content pages are site-wide. Every change is audited (marketing.discount_code.*, marketing.banner.*, cms.content_block.*).</w:t>
      </w:r>
    </w:p>
    <w:p>
      <w:pPr>
        <w:pStyle w:val="BodyText"/>
      </w:pPr>
      <w:r>
        <w:t>Backend: new modules src/marketing and src/cms, plus a customer-portal/storefront sub-module for the public content and authenticated promo/validate endpoints. A shared, database-free evaluateDiscountCode() is used by both the storefront validate endpoint and OrdersService so the cart and the placed order can never disagree on the discount. Migration 20260828160000_marketing_promos_cms adds the three tables, their enums and the two order columns. The seed adds demo discount codes (including an expired one), a promo banner and the About / Terms / Delivery content pages, and wires the four permissions to Super Administrator (all), Managing Director (viewAll), IT Administrator (all, demo break-glass) and Sales Manager (marketing).</w:t>
      </w:r>
    </w:p>
    <w:p>
      <w:pPr>
        <w:pStyle w:val="BodyText"/>
      </w:pPr>
      <w:r>
        <w:t>Admin frontend: new pages src/pages/Marketing.jsx (Discount codes / Banners tabs with CRUD and activate/deactivate) and src/pages/Cms.jsx (page list + editor + Save draft / Publish / Unpublish / Delete), replacing the &lt;ComingSoon&gt; stubs for /marketing and /cms in App.jsx; both sidebar entries lose their “Soon” badge and are permission-filtered on the new codes.</w:t>
      </w:r>
    </w:p>
    <w:p>
      <w:pPr>
        <w:pStyle w:val="BodyText"/>
      </w:pPr>
      <w:r>
        <w:t>Storefront: the cart gains a discount-code field that applies and shows a discount line and revised total; the home page renders active promo banners; a new public /page/{slug} route renders published content, linked from the Landing footer (About / Terms &amp; Conditions / Delivery &amp; Returns).</w:t>
      </w:r>
    </w:p>
    <w:p>
      <w:pPr>
        <w:pStyle w:val="Heading2"/>
      </w:pPr>
      <w:r>
        <w:t>Impact on this document</w:t>
      </w:r>
    </w:p>
    <w:p>
      <w:pPr>
        <w:pStyle w:val="BodyText"/>
      </w:pPr>
      <w:r>
        <w:t>Alpha testing: smoke the marketing and CMS endpoints and screens — code CRUD and activate/deactivate, banner CRUD, content edit / publish / unpublish; validate a code at three subtotals; place an order with and without a code; load a published page and confirm a draft 404s.</w:t>
      </w:r>
    </w:p>
    <w:p>
      <w:pPr>
        <w:pStyle w:val="Heading1"/>
      </w:pPr>
      <w:r>
        <w:t>43. Implementation Status Update 38 (28 August 2026) — Managing Director Full Control of Marketing &amp; CMS</w:t>
      </w:r>
    </w:p>
    <w:p>
      <w:pPr>
        <w:pStyle w:val="BodyText"/>
      </w:pPr>
      <w:r>
        <w:t>When Marketing &amp; Promos and CMS / Site Builder were activated earlier today, the Managing Director held only the read (viewAll) permissions for both — the create / edit / publish controls appeared but writes were refused (403). At the Managing Director's request, the role now holds the full manage permissions for both sections.</w:t>
      </w:r>
    </w:p>
    <w:p>
      <w:pPr>
        <w:pStyle w:val="BodyText"/>
      </w:pPr>
      <w:r>
        <w:t>What changed:</w:t>
      </w:r>
    </w:p>
    <w:p>
      <w:pPr>
        <w:pStyle w:val="BodyText"/>
      </w:pPr>
      <w:r>
        <w:t>•  Managing Director role: gains marketing.manage and cms.manage (it already held marketing.viewAll and cms.viewAll). Seeded in seed.ts alongside the organization.company.manage / identity.user.manage the role already holds for the subsidiary lifecycle.</w:t>
      </w:r>
    </w:p>
    <w:p>
      <w:pPr>
        <w:pStyle w:val="BodyText"/>
      </w:pPr>
      <w:r>
        <w:t>•  Marketing &amp; Promos: the Managing Director can now view, create, update, delete and execute (activate / deactivate) discount codes, and view, create, update and delete promotional banners, group-wide.</w:t>
      </w:r>
    </w:p>
    <w:p>
      <w:pPr>
        <w:pStyle w:val="BodyText"/>
      </w:pPr>
      <w:r>
        <w:t>•  CMS / Site Builder: the Managing Director can now view, create, update, publish, unpublish and delete storefront content pages.</w:t>
      </w:r>
    </w:p>
    <w:p>
      <w:pPr>
        <w:pStyle w:val="BodyText"/>
      </w:pPr>
      <w:r>
        <w:t>•  New endpoint: DELETE /api/v1/marketing/discount-codes/{id} was added so a discount code can be removed outright, not only deactivated. It is safe because orders.discount_code stores the code as text, so an order placed with a code keeps its record after the code is deleted. Requires marketing.manage.</w:t>
      </w:r>
    </w:p>
    <w:p>
      <w:pPr>
        <w:pStyle w:val="BodyText"/>
      </w:pPr>
      <w:r>
        <w:t>No schema change and no change to the delegation rules — marketing.manage is an operations-domain permission and cms.manage a governance-domain permission, both already delegable by the Managing Director (all domains, group-wide). The permission guard is an any-of match on the caller's effective permissions, so adding the two codes to the role is sufficient; the admin screens already showed the controls to this role because it holds identity.user.manage.</w:t>
      </w:r>
    </w:p>
    <w:p>
      <w:pPr>
        <w:pStyle w:val="BodyText"/>
      </w:pPr>
      <w:r>
        <w:t>Verified as the Managing Director: create, update, deactivate and delete a discount code; create, update and delete a promo banner; create, update, publish, unpublish and delete a content page — every call returned 200 or 201. A role without the codes (Auditor) is still refused (403).</w:t>
      </w:r>
    </w:p>
    <w:p>
      <w:pPr>
        <w:pStyle w:val="Heading2"/>
      </w:pPr>
      <w:r>
        <w:t>Impact on this document</w:t>
      </w:r>
    </w:p>
    <w:p>
      <w:pPr>
        <w:pStyle w:val="BodyText"/>
      </w:pPr>
      <w:r>
        <w:t>Alpha testing: a quick check that the Managing Director persona's write calls to /marketing and /cms succeed and are recorded in the audit trail.</w:t>
      </w:r>
    </w:p>
    <w:p>
      <w:pPr>
        <w:pStyle w:val="Heading1"/>
      </w:pPr>
      <w:r>
        <w:t>44. Implementation Status Update 39 (28 August 2026) — Localisation Extended to Promo Banners &amp; CMS Content</w:t>
      </w:r>
    </w:p>
    <w:p>
      <w:pPr>
        <w:pStyle w:val="BodyText"/>
      </w:pPr>
      <w:r>
        <w:t>The database-content localisation delivered earlier (read in the customer's language, store the customer's input in English) covered the catalogue, support tickets and delivery addresses. The two storefront surfaces activated since then — promotional banners and CMS content pages — were still served as stored English. They now pass through the same translation seam.</w:t>
      </w:r>
    </w:p>
    <w:p>
      <w:pPr>
        <w:pStyle w:val="BodyText"/>
      </w:pPr>
      <w:r>
        <w:t>What changed:</w:t>
      </w:r>
    </w:p>
    <w:p>
      <w:pPr>
        <w:pStyle w:val="BodyText"/>
      </w:pPr>
      <w:r>
        <w:t>•  Promo banners: GET /customer-portal/promo-banners now honours Accept-Language: heading, body and link label are rendered in the customer's chosen language through the content-translation glossary, and digits are shown in the language's own script (e.g. Arabic-Indic for Arabic).</w:t>
      </w:r>
    </w:p>
    <w:p>
      <w:pPr>
        <w:pStyle w:val="BodyText"/>
      </w:pPr>
      <w:r>
        <w:t>•  CMS content pages: GET /customer-portal/content and /content/{slug} now honour Accept-Language: the page title and body are rendered in the customer's language. The canonical stored value stays English; only the response is localised.</w:t>
      </w:r>
    </w:p>
    <w:p>
      <w:pPr>
        <w:pStyle w:val="BodyText"/>
      </w:pPr>
      <w:r>
        <w:t>•  Discount-code messages: the checkout discount validator returns a stable messageKey (with parameters where needed, e.g. the minimum order amount) instead of only an English sentence, so the storefront shows “that code has expired”, “this code needs a subtotal of at least …”, etc. in the chosen language. An English message is still returned as a fallback and is what the 409 on order placement carries server-side.</w:t>
      </w:r>
    </w:p>
    <w:p>
      <w:pPr>
        <w:pStyle w:val="BodyText"/>
      </w:pPr>
      <w:r>
        <w:t>•  Glossary + provider seam: the curated glossary gains the seeded banner and content strings for the eight fully-translated languages (Swahili, Luganda, French, Spanish, Portuguese, German, Italian, Arabic). Body prose beyond the curated entries still falls through to the translation provider, whose bundled implementation is a no-op until a real machine-translation service is configured — the same documented boundary as for product descriptions and ticket bodies.</w:t>
      </w:r>
    </w:p>
    <w:p>
      <w:pPr>
        <w:pStyle w:val="BodyText"/>
      </w:pPr>
      <w:r>
        <w:t>Write direction is unchanged and was re-verified: a customer typing in another language still has their input normalised to English on save, with the original wording kept alongside (support tickets, delivery addresses). Nothing in the promo / CMS flows is customer-typed — a discount code is a language-neutral identifier and the subtotal is computed client-side in Western digits — so no new store-in-English handling was required there.</w:t>
      </w:r>
    </w:p>
    <w:p>
      <w:pPr>
        <w:pStyle w:val="BodyText"/>
      </w:pPr>
      <w:r>
        <w:t>Changes: marketing.service.ts and cms.service.ts take a language argument and localise their storefront responses via ContentTranslationService; customer-storefront.controller.ts reads Accept-Language and resolves it; discount.util.ts adds messageKey / messageParams to every outcome; the storefront cart renders the message key through its i18n catalogue; content-glossary.ts and the eight-language storefront locale files gain the new strings. No schema change. Verified: promo banner and About / Terms / Delivery pages render in French, Swahili, German and Arabic (with Arabic-Indic digits); the English view is unchanged; a delivery address typed in Swahili is still stored as English with the original kept.</w:t>
      </w:r>
    </w:p>
    <w:p>
      <w:pPr>
        <w:pStyle w:val="Heading2"/>
      </w:pPr>
      <w:r>
        <w:t>Impact on this document</w:t>
      </w:r>
    </w:p>
    <w:p>
      <w:pPr>
        <w:pStyle w:val="BodyText"/>
      </w:pPr>
      <w:r>
        <w:t>Alpha testing: smoke the three storefront read endpoints with Accept-Language set to fr / sw / de / ar and confirm localised output and unchanged English output.</w:t>
      </w:r>
    </w:p>
    <w:p>
      <w:pPr>
        <w:pStyle w:val="Heading1"/>
      </w:pPr>
      <w:r>
        <w:t>45. Implementation Status Update 40 (28 August 2026) — HR Dashboard &amp; Departments Sections Activated</w:t>
      </w:r>
    </w:p>
    <w:p>
      <w:pPr>
        <w:pStyle w:val="BodyText"/>
      </w:pPr>
      <w:r>
        <w:t>Two HUMAN RESOURCES placeholders from the navigation redesign — HR Dashboard and Departments — are now working screens.</w:t>
      </w:r>
    </w:p>
    <w:p>
      <w:pPr>
        <w:pStyle w:val="BodyText"/>
      </w:pPr>
      <w:r>
        <w:t>What was delivered:</w:t>
      </w:r>
    </w:p>
    <w:p>
      <w:pPr>
        <w:pStyle w:val="BodyText"/>
      </w:pPr>
      <w:r>
        <w:t>•  HR Dashboard: a new read-only endpoint GET /api/v1/hr/dashboard aggregates the employee, attendance, leave and recruitment modules into four groups: headcount (active / inactive, and by company, branch, department and contract type); attendance over the last 30 days (records, absence rate, late rate, present / half-day); recruitment (open vacancies, positions open, awaiting approval, and the candidate pipeline by stage); and upcoming events over the next 30 days (contracts ending, probation ending, approved leave starting). Visible to any holder of an HR viewAll permission (employee / recruitment / attendance / leave / performance); figures are group-wide for those holders and limited to the caller's companies otherwise.</w:t>
      </w:r>
    </w:p>
    <w:p>
      <w:pPr>
        <w:pStyle w:val="BodyText"/>
      </w:pPr>
      <w:r>
        <w:t>•  Departments: a dedicated management screen. A new endpoint GET /api/v1/organization/departments lists every department across the companies in the caller's scope, each with its company name and current headcount. Create, rename and delete reuse the existing organization endpoints (POST /organization/companies/{id}/departments, PATCH and DELETE /organization/departments/{id}); the delete is still blocked (409) while staff are assigned. Writes require organization.company.manage; the list is also visible to organization.company.viewAll / employee.viewAll / recruitment.viewAll holders as a read-only view.</w:t>
      </w:r>
    </w:p>
    <w:p>
      <w:pPr>
        <w:pStyle w:val="BodyText"/>
      </w:pPr>
      <w:r>
        <w:t>•  Demo data: Morise Agro Ltd gains three departments (Field Operations, Finance &amp; Administration, Warehouse &amp; Distribution) with its three employees assigned one each; about three working weeks of recent attendance records with a realistic scatter of late / absent days; one fixed-term contract ending in about three weeks; and one approved leave starting in about ten days — so both screens show live figures on a fresh database.</w:t>
      </w:r>
    </w:p>
    <w:p>
      <w:pPr>
        <w:pStyle w:val="BodyText"/>
      </w:pPr>
      <w:r>
        <w:t>Backend: a new module src/hr-dashboard (controller + service), registered in app.module.ts; src/organization/departments gains a listAll() service method and a GET route on the /organization/departments controller. No schema change and no new permission — the HR Dashboard is gated on the existing HR viewAll codes, Departments management on the existing organization.company.manage.</w:t>
      </w:r>
    </w:p>
    <w:p>
      <w:pPr>
        <w:pStyle w:val="BodyText"/>
      </w:pPr>
      <w:r>
        <w:t>Admin frontend: new pages src/pages/Hr.jsx (KPI tiles + breakdown tables + pipeline + upcoming-events lists) and src/pages/Departments.jsx (filterable table with headcount, plus New / Rename / Delete for managers), replacing the &lt;ComingSoon&gt; stubs for /hr and /departments in App.jsx; both sidebar entries lose their “Soon” badge and are permission-filtered. Verified: as the Managing Director the HR Dashboard returns headcount 3 across 3 departments, 45 attendance records (4.4% absence, 13.3% late), the recruitment pipeline, and the seeded contract-ending and leave-starting rows; a Human Resources Manager sees the same (group-wide for its own function); a Sales Manager without an HR viewAll permission is refused (403). Departments create / rename / delete all succeed, and deleting a department that still has staff is refused (409).</w:t>
      </w:r>
    </w:p>
    <w:p>
      <w:pPr>
        <w:pStyle w:val="Heading2"/>
      </w:pPr>
      <w:r>
        <w:t>Impact on this document</w:t>
      </w:r>
    </w:p>
    <w:p>
      <w:pPr>
        <w:pStyle w:val="BodyText"/>
      </w:pPr>
      <w:r>
        <w:t>Alpha testing: smoke GET /hr/dashboard and GET /organization/departments for the Managing Director, a Human Resources Manager and a role without HR visibility; exercise department create / rename / delete and the 409 guard.</w:t>
      </w:r>
    </w:p>
    <w:p>
      <w:pPr>
        <w:pStyle w:val="Heading1"/>
      </w:pPr>
      <w:r>
        <w:t>46. Implementation Status Update 41 (28 August 2026) — Shift Scheduling &amp; Payroll Sections Activated</w:t>
      </w:r>
    </w:p>
    <w:p>
      <w:pPr>
        <w:pStyle w:val="BodyText"/>
      </w:pPr>
      <w:r>
        <w:t>The last two HUMAN RESOURCES placeholders from the navigation redesign — Shift Scheduling and Payroll — are now working modules.</w:t>
      </w:r>
    </w:p>
    <w:p>
      <w:pPr>
        <w:pStyle w:val="BodyText"/>
      </w:pPr>
      <w:r>
        <w:t>What was delivered:</w:t>
      </w:r>
    </w:p>
    <w:p>
      <w:pPr>
        <w:pStyle w:val="BodyText"/>
      </w:pPr>
      <w:r>
        <w:t>•  Shift Scheduling: a new roster_entries table (RosterEntry: one employee x one calendar day -&gt; one shift template, status planned or published; one entry per employee per day, a second is rejected as a clash). Endpoints GET/POST/DELETE /api/v1/shift-scheduling/entries, POST /shift-scheduling/publish (promotes a date range from planned to published and notifies the affected employees) and GET /shift-scheduling/coverage (per-day staffed count, unrostered count and clash flags — an employee rostered on a day they are also on approved leave). Roster writes reuse attendance.manage; no new permission was added for shift scheduling.</w:t>
      </w:r>
    </w:p>
    <w:p>
      <w:pPr>
        <w:pStyle w:val="BodyText"/>
      </w:pPr>
      <w:r>
        <w:t>•  Payroll: a monthly payroll run. Employee gains gross_salary and pay_frequency. New payroll_runs, payslips and salary_advances tables with their status enums. POST /api/v1/payroll/runs computes, per active employee with a gross salary, the Uganda PAYE (income-tax bands) and NSSF (5% employee, 10% employer) figures plus any approved salary-advance instalment, and produces a payslip; the run moves draft -&gt; approved -&gt; paid. Paying it posts a balanced journal entry (Dr staff costs = gross + employer NSSF; Cr PAYE Payable, NSSF Payable, Staff Advances and Salaries Payable) and advances each recovered salary advance.</w:t>
      </w:r>
    </w:p>
    <w:p>
      <w:pPr>
        <w:pStyle w:val="BodyText"/>
      </w:pPr>
      <w:r>
        <w:t>•  Salary advances: GET /payroll/salary-advances, POST (request), and POST .../approve | .../reject. An approved advance is recovered in instalments (amount / instalments, capped at the outstanding balance and never taking net pay below zero) automatically on each payroll run, and flips to recovered when fully repaid.</w:t>
      </w:r>
    </w:p>
    <w:p>
      <w:pPr>
        <w:pStyle w:val="BodyText"/>
      </w:pPr>
      <w:r>
        <w:t>•  Permissions &amp; roles: three new permissions (hr domain): payroll.manage (create a run, request an advance), payroll.approve (approve / pay a run, approve / reject an advance) and payroll.viewAll. Seeded to Super Administrator and IT Administrator (all three), Human Resources Manager (manage + viewAll), Managing Director and Finance Manager (approve + viewAll) — the same prepare-vs-approve split already used for expenses. The delegation rules are unchanged (hr-domain permissions are already delegable by the HR Manager).</w:t>
      </w:r>
    </w:p>
    <w:p>
      <w:pPr>
        <w:pStyle w:val="BodyText"/>
      </w:pPr>
      <w:r>
        <w:t>Backend: new modules src/shift-scheduling and src/payroll (with a database-free src/payroll/uganda-statutory.util.ts for the PAYE / NSSF calculation), registered in app.module.ts. Migration 20260828190000_shift_scheduling_payroll adds the four tables, the three enums and the two Employee columns. The seed sets a gross salary on the demo Agro employees, a published roster for the current week and a planned one for next week, and one approved salary advance.</w:t>
      </w:r>
    </w:p>
    <w:p>
      <w:pPr>
        <w:pStyle w:val="BodyText"/>
      </w:pPr>
      <w:r>
        <w:t>Admin frontend: new pages src/pages/ShiftScheduling.jsx (a weekly employee x day roster grid with a coverage row, add / remove assignment and a one-click Publish) and src/pages/Payroll.jsx (payroll runs with a payslip breakdown and approve / pay / cancel, and a salary-advances tab), replacing the &lt;ComingSoon&gt; stubs for /shift-scheduling and /payroll in App.jsx; both sidebar entries lose their “Soon” badge and are permission-filtered. Verified: a Human Resources Manager builds and publishes a roster and creates a draft payroll run (Agro: 3 staff, gross UGX 5,600,000, PAYE UGX 1,386,000, employee NSSF UGX 280,000, net UGX 3,734,000; PAYE for a UGX 2,800,000 salary computes to UGX 742,000, matching the band schedule); the Managing Director approves and pays it, posting a balanced journal entry (Dr 6,160,000 / Cr 6,160,000) and advancing the seeded salary advance to “recovering” (UGX 200,000 of UGX 600,000); a Sales Manager with no HR permission is refused (403); a duplicate run for the same month is refused (409); a second roster entry for the same employee and day is refused (409).</w:t>
      </w:r>
    </w:p>
    <w:p>
      <w:pPr>
        <w:pStyle w:val="Heading2"/>
      </w:pPr>
      <w:r>
        <w:t>Impact on this document</w:t>
      </w:r>
    </w:p>
    <w:p>
      <w:pPr>
        <w:pStyle w:val="BodyText"/>
      </w:pPr>
      <w:r>
        <w:t>Alpha testing: smoke the shift-scheduling and payroll endpoints for an HR manager and an approver; exercise the roster clash (409), the duplicate-run guard (409), the approve-without-permission refusal (403), and confirm the payroll journal entry balances.</w:t>
      </w:r>
    </w:p>
    <w:p>
      <w:pPr>
        <w:pStyle w:val="Heading1"/>
      </w:pPr>
      <w:r>
        <w:t>47. Implementation Status Update 42 (28 August 2026) — My HR Self-Service Sections Activated</w:t>
      </w:r>
    </w:p>
    <w:p>
      <w:pPr>
        <w:pStyle w:val="BodyText"/>
      </w:pPr>
      <w:r>
        <w:t>The six MY HR placeholders from the navigation redesign — Clock In / Out, My Leave, My Shifts, My Performance, My Payslips and My Salary Advances — are now working self-service screens. Every one is scoped to the Employee record linked to the signed-in user; an account with no linked record sees a friendly notice on each screen.</w:t>
      </w:r>
    </w:p>
    <w:p>
      <w:pPr>
        <w:pStyle w:val="BodyText"/>
      </w:pPr>
      <w:r>
        <w:t>What was delivered:</w:t>
      </w:r>
    </w:p>
    <w:p>
      <w:pPr>
        <w:pStyle w:val="BodyText"/>
      </w:pPr>
      <w:r>
        <w:t>•  New read layer: a new module src/my-hr with GET /api/v1/my-hr/{summary,attendance,leave,shifts,performance,payslips,salary-advances}. Each resolves the caller's Employee via Employee.userId and returns only that person's data — attendance records and today's clock state, leave balances and requests, roster entries, performance reviews and objectives, paid payslips, and salary advances. No permission is required — these are “my own” reads.</w:t>
      </w:r>
    </w:p>
    <w:p>
      <w:pPr>
        <w:pStyle w:val="BodyText"/>
      </w:pPr>
      <w:r>
        <w:t>•  Self-service actions: Clock In / Out calls the existing POST /attendance/clock-in|clock-out (already un-gated and self-resolving); My Leave calls POST /leave/applications and .../cancel; My Performance calls POST /performance/reviews/{id}/self-assessment (which already checks the review belongs to the caller). Only “request a salary advance for myself” is new: POST /api/v1/my-hr/salary-advances creates a requested advance for the caller's employee (the staff endpoint needs payroll.manage), with a one-open-advance-at-a-time guard (409).</w:t>
      </w:r>
    </w:p>
    <w:p>
      <w:pPr>
        <w:pStyle w:val="BodyText"/>
      </w:pPr>
      <w:r>
        <w:t>•  Screens: src/pages/MyHr.jsx — six components. Clock In / Out: today's status, one-tap clock in / out, 30-day present / late / absent counts and a record history. My Leave: balance cards per type and a requests table with Apply and Cancel. My Shifts: the employee's roster (published and planned), today highlighted. My Performance: objectives, reviews, and a self-assessment dialog when one is pending. My Payslips: a payslip list and a breakdown dialog (gross, PAYE, NSSF, advance recovery, net). My Salary Advances: the employee's advances with outstanding balance, and a Request dialog.</w:t>
      </w:r>
    </w:p>
    <w:p>
      <w:pPr>
        <w:pStyle w:val="BodyText"/>
      </w:pPr>
      <w:r>
        <w:t>No schema change and no new permission — the module reads existing tables (attendance_records, leave_balances / leave_applications, roster_entries, performance_reviews / performance_objectives, payslips, salary_advances) and reuses the un-gated self-service actions the attendance, leave and performance modules already expose. The six routes were already marked always-visible in the front-end capability map; they are removed from STUB_ROUTES and the sidebar entries lose their “Soon” badge.</w:t>
      </w:r>
    </w:p>
    <w:p>
      <w:pPr>
        <w:pStyle w:val="BodyText"/>
      </w:pPr>
      <w:r>
        <w:t>Verified with the demo persona whose login is linked to an employee record: the summary returns the linked profile (name, department, company, shift, gross salary); clocking in updates today's state and the 30-day counts; leave balances and the approved / submitted requests display, and a new request can be submitted and cancelled; the roster shows this week's published and next week's planned shifts; the completed performance review and its rating display; requesting a salary advance succeeds and a second concurrent request is refused (409). An account with no linked employee record gets linked:false from the summary and a 404 from the detail endpoints, and each screen shows the “ask HR to link your account” notice.</w:t>
      </w:r>
    </w:p>
    <w:p>
      <w:pPr>
        <w:pStyle w:val="Heading2"/>
      </w:pPr>
      <w:r>
        <w:t>Impact on this document</w:t>
      </w:r>
    </w:p>
    <w:p>
      <w:pPr>
        <w:pStyle w:val="BodyText"/>
      </w:pPr>
      <w:r>
        <w:t>Alpha testing: smoke each my-hr GET for a linked and an unlinked account; exercise clock in / out, a leave request + cancel, a self-assessment submission, and the salary-advance request with its 409 guard.</w:t>
      </w:r>
    </w:p>
    <w:p>
      <w:pPr>
        <w:pStyle w:val="Heading1"/>
      </w:pPr>
      <w:r>
        <w:t>48. Implementation Status Update 43 (28 August 2026) — Demo Staff Logins Linked to Employee Records</w:t>
      </w:r>
    </w:p>
    <w:p>
      <w:pPr>
        <w:pStyle w:val="BodyText"/>
      </w:pPr>
      <w:r>
        <w:t>The My HR self-service screens work only for a login that is linked to an employee record (Employee.userId). Until now only one demo persona (the Branch Manager) was linked, so every other demo login saw the “your account is not linked to an employee record” notice on those screens. All the seeded staff logins are now linked.</w:t>
      </w:r>
    </w:p>
    <w:p>
      <w:pPr>
        <w:pStyle w:val="BodyText"/>
      </w:pPr>
      <w:r>
        <w:t>What changed:</w:t>
      </w:r>
    </w:p>
    <w:p>
      <w:pPr>
        <w:pStyle w:val="BodyText"/>
      </w:pPr>
      <w:r>
        <w:t>•  Linked accounts: the Managing Director, IT Administrator and Auditor logins are linked to new employee records in Morise Holdings Limited; the Human Resources Manager, Finance Manager, Sales Manager and Procurement Manager logins to new records in Morise Agro Ltd. Each record has a job title, department, monthly gross salary and employment start date; the Agro records also have the Day Shift and a published roster for the current week. Every linked employee gets the 2026 leave-balance set (21 annual, 10 sick, 90 maternity, 4 paternity, 5 emergency).</w:t>
      </w:r>
    </w:p>
    <w:p>
      <w:pPr>
        <w:pStyle w:val="BodyText"/>
      </w:pPr>
      <w:r>
        <w:t>•  Effect: signed in as any seeded staff persona, the six My HR screens now show that person's own data — profile summary, attendance and clock state, leave balances, roster, performance reviews, payslips (once a run that includes them is paid) and salary advances — instead of the “not linked” notice. A login still genuinely unlinked (for example a future user created without an employee record) continues to see the notice.</w:t>
      </w:r>
    </w:p>
    <w:p>
      <w:pPr>
        <w:pStyle w:val="BodyText"/>
      </w:pPr>
      <w:r>
        <w:t>This is a seed-data change only — no schema, code or permission change. The linking mechanism already existed (the employee create/update API accepts a userId); the seed now uses it for the demo staff. Side effect: the HR Dashboard headcount and the Departments screen counts rise accordingly (Morise Holdings Limited now has three staffed departments, Morise Agro Ltd seven employees), and a payroll run for either company would include the newly-salaried staff. Verified: each seeded staff login returns linked:true from GET /api/v1/my-hr/summary with a full profile, and the My HR detail endpoints return that person's rows.</w:t>
      </w:r>
    </w:p>
    <w:p>
      <w:pPr>
        <w:pStyle w:val="Heading2"/>
      </w:pPr>
      <w:r>
        <w:t>Impact on this document</w:t>
      </w:r>
    </w:p>
    <w:p>
      <w:pPr>
        <w:pStyle w:val="BodyText"/>
      </w:pPr>
      <w:r>
        <w:t>Alpha testing: log in as two or three different seeded staff personas and confirm each sees their own My HR data.</w:t>
      </w:r>
    </w:p>
    <w:p>
      <w:pPr>
        <w:pStyle w:val="Heading1"/>
      </w:pPr>
      <w:r>
        <w:t>49. Implementation Status Update 44 (28 August 2026) — Financial &amp; Accounting Overview Activated</w:t>
      </w:r>
    </w:p>
    <w:p>
      <w:pPr>
        <w:pStyle w:val="BodyText"/>
      </w:pPr>
      <w:r>
        <w:t>The one remaining placeholder in the whole regrouped navigation — the Financial &amp; Accounting overview landing tile — is now a working read-only screen. With this every entry in the ADMIN / BACKEND, HUMAN RESOURCES, MY HR and FINANCIAL &amp; ACCOUNTING categories opens a working screen.</w:t>
      </w:r>
    </w:p>
    <w:p>
      <w:pPr>
        <w:pStyle w:val="BodyText"/>
      </w:pPr>
      <w:r>
        <w:t>What was delivered:</w:t>
      </w:r>
    </w:p>
    <w:p>
      <w:pPr>
        <w:pStyle w:val="BodyText"/>
      </w:pPr>
      <w:r>
        <w:t>•  Overview endpoint: a new module src/finance with GET /api/v1/finance/overview. It returns three parts. (1) The consolidated group financial position — total assets, liabilities and equity, cash position and bank balances, outstanding receivables and payables, and open-period revenue, expense and net profit, group-wide and per company — reusing the computation the dashboard already performs. (2) “Needs attention” working-capital figures — accounts-payable outstanding amount and count (with overdue and pending-approval counts), accounts-receivable outstanding amount and count (with overdue), expense claims awaiting finance approval, active-asset net book value and disposal requests, and active / on-hold / planned project counts. (3) Period-close status — each company's current financial period with its dates and open/closed state, and the group totals of open and closed periods.</w:t>
      </w:r>
    </w:p>
    <w:p>
      <w:pPr>
        <w:pStyle w:val="BodyText"/>
      </w:pPr>
      <w:r>
        <w:t>•  Screen: src/pages/Finance.jsx — KPI tiles for the group position, a by-company table, a “Needs attention” tile row, a period-close table, and a grid of shortcut cards into the working finance sub-screens (General Ledger &amp; Journals, Accounts Payable, Expenses, Assets, Projects, Reports, Suppliers, Inter-Company). It replaces the &lt;ComingSoon&gt; stub for /finance in App.jsx; the sidebar entry loses its “Soon” badge and STUB_ROUTES is now empty.</w:t>
      </w:r>
    </w:p>
    <w:p>
      <w:pPr>
        <w:pStyle w:val="BodyText"/>
      </w:pPr>
      <w:r>
        <w:t>•  Access: read-only, no new permission. The endpoint is gated on any one of the finance-area permissions — the same list the front-end capability map already uses for the /finance route (accounting / ap / expense / asset / project / supplier / inter-company, in their manage / approve / viewAll forms). A user with none of them is refused (403).</w:t>
      </w:r>
    </w:p>
    <w:p>
      <w:pPr>
        <w:pStyle w:val="BodyText"/>
      </w:pPr>
      <w:r>
        <w:t>No schema change. The DashboardModule now exports its service so the finance overview can reuse the balance-sheet and income computation; everything else is a straightforward aggregation over supplier invoices, customer invoices, expenses, assets, projects and financial periods. Verified: as a Finance Manager the overview returns the consolidated position (group net profit UGX 19,833,800 across five companies), the working-capital figures (AP UGX 500,000 outstanding, AR UGX 15,301,200 with 3 overdue, one expense claim awaiting finance, asset net book value UGX 45,000,000, one active project) and the two open FY2026-Q1 periods; a Sales Manager with no finance permission is refused (403).</w:t>
      </w:r>
    </w:p>
    <w:p>
      <w:pPr>
        <w:pStyle w:val="Heading2"/>
      </w:pPr>
      <w:r>
        <w:t>Impact on this document</w:t>
      </w:r>
    </w:p>
    <w:p>
      <w:pPr>
        <w:pStyle w:val="BodyText"/>
      </w:pPr>
      <w:r>
        <w:t>Alpha testing: smoke GET /finance/overview for a finance role and for a role with no finance permission (expect 403); spot-check the aggregated figures against the sub-screens.</w:t>
      </w:r>
    </w:p>
    <w:p>
      <w:pPr>
        <w:pStyle w:val="Heading1"/>
      </w:pPr>
      <w:r>
        <w:t>50. Implementation Status Update 45 (29 August 2026) — Customer Sign-Up, Multi-Identifier Login &amp; Password Reset</w:t>
      </w:r>
    </w:p>
    <w:p>
      <w:pPr>
        <w:pStyle w:val="BodyText"/>
      </w:pPr>
      <w:r>
        <w:t>The Customer Storefront login previously accepted only a staff-issued email or account number and had no self-registration and no password reset. Customers can now sign themselves up, sign in with an email, phone number or account number (or with Google), and reset a forgotten password.</w:t>
      </w:r>
    </w:p>
    <w:p>
      <w:pPr>
        <w:pStyle w:val="BodyText"/>
      </w:pPr>
      <w:r>
        <w:t>What was delivered:</w:t>
      </w:r>
    </w:p>
    <w:p>
      <w:pPr>
        <w:pStyle w:val="BodyText"/>
      </w:pPr>
      <w:r>
        <w:t>•  Sign up: POST /api/v1/customer-portal/auth/register (name, email, optional phone, password, and which Morise company to buy from — listed by the public GET /customer-portal/auth/companies). It creates an active customer with a generated account number and starter terms (a small credit limit and 14-day payment terms, for staff to review in the CRM) and signs the customer straight in. A second account for the same email or phone is refused (409).</w:t>
      </w:r>
    </w:p>
    <w:p>
      <w:pPr>
        <w:pStyle w:val="BodyText"/>
      </w:pPr>
      <w:r>
        <w:t>•  Login by email, phone or account number: the single identifier field now matches a customer's email, account number OR phone. The phone match ignores formatting and country-code style, so “+256 701 234 567”, “0701234567” and “701234567” all resolve to the same account. The 5-attempt lockout is unchanged.</w:t>
      </w:r>
    </w:p>
    <w:p>
      <w:pPr>
        <w:pStyle w:val="BodyText"/>
      </w:pPr>
      <w:r>
        <w:t>•  Sign in with Google: POST /api/v1/customer-portal/auth/google. In production the request carries a verified Google ID token; this offline build trusts the email the “Continue with Google” button sends (a documented seam, like the deferred payment gateway and in-app-only notifications). A known email is signed in passwordlessly; an unknown email auto-registers a Google-linked account.</w:t>
      </w:r>
    </w:p>
    <w:p>
      <w:pPr>
        <w:pStyle w:val="BodyText"/>
      </w:pPr>
      <w:r>
        <w:t>•  Forgot / reset password: POST /customer-portal/auth/forgot-password (by email, phone or account number) issues a one-time token stored hashed with a 30-minute expiry; POST /customer-portal/auth/reset-password consumes it, sets the new password, clears any lockout and revokes every active session. With no SMTP/SMS in this build the plain token is returned in the response in dev so the flow completes end to end; a real deployment e-mails / SMSes a link instead. The forgot-password response is identical whether or not an account matched, so it never reveals which identifiers are registered.</w:t>
      </w:r>
    </w:p>
    <w:p>
      <w:pPr>
        <w:pStyle w:val="BodyText"/>
      </w:pPr>
      <w:r>
        <w:t>Backend: src/customer-portal/auth gains the four endpoints plus the companies list on the existing CustomerAuthController /Service; a new customer_password_reset_tokens table and two Customer columns (self_registered, google_linked) via migration 20260829090000_customer_self_service_auth. Every new endpoint is rate-limited. Storefront: new pages /register, /forgot-password and /reset-password, a “Continue with Google” component, and the login screen updated with the new identifier label, a “Forgot your password?” link and a “Create an account” link; the auth strings are added to the eight fully-translated languages.</w:t>
      </w:r>
    </w:p>
    <w:p>
      <w:pPr>
        <w:pStyle w:val="BodyText"/>
      </w:pPr>
      <w:r>
        <w:t>Verified end to end: a new customer registers and is signed in with a generated account number; the same customer then signs in with the email, with the phone in three different formats, and with the account number; a duplicate registration is refused (409); Google sign-in logs an existing customer in and auto-registers a new one; a reset token issued by forgot-password lets the customer set a new password, after which the old password is rejected and the token cannot be reused (401); forgot-password for an unknown identifier still returns 200 with no token.</w:t>
      </w:r>
    </w:p>
    <w:p>
      <w:pPr>
        <w:pStyle w:val="Heading2"/>
      </w:pPr>
      <w:r>
        <w:t>Impact on this document</w:t>
      </w:r>
    </w:p>
    <w:p>
      <w:pPr>
        <w:pStyle w:val="BodyText"/>
      </w:pPr>
      <w:r>
        <w:t>Alpha testing: smoke the four new endpoints plus the companies list; exercise the duplicate-registration 409, the reset-token single-use 401, and the non-disclosing forgot-password response.</w:t>
      </w:r>
    </w:p>
    <w:p>
      <w:pPr>
        <w:pStyle w:val="Heading1"/>
      </w:pPr>
      <w:r>
        <w:t>51. Implementation Status Update 46 (29 August 2026) — One Storefront Across Every Subsidiary and Its Branches</w:t>
      </w:r>
    </w:p>
    <w:p>
      <w:pPr>
        <w:pStyle w:val="BodyText"/>
      </w:pPr>
      <w:r>
        <w:t>The Customer Storefront previously showed only the products of the one Morise company on the customer's account. It now shows the priced, active products and services of every subsidiary in the holding group, each listing tagged with the subsidiary that sells it and the branch that produces or fulfils it, and the customer's own screens always show which subsidiary and branch their account belongs to.</w:t>
      </w:r>
    </w:p>
    <w:p>
      <w:pPr>
        <w:pStyle w:val="BodyText"/>
      </w:pPr>
      <w:r>
        <w:t>What was delivered:</w:t>
      </w:r>
    </w:p>
    <w:p>
      <w:pPr>
        <w:pStyle w:val="BodyText"/>
      </w:pPr>
      <w:r>
        <w:t>•  Group catalogue: GET /api/v1/customer-portal/catalog/products now resolves the customer's holding group (the root holding company plus every active subsidiary) and lists all of their priced, active products, each carrying companyId / companyName and branchId / branchName / branchAddress. New companyId and branchId query filters; GET /customer-portal/catalog/categories spans the group; a new GET /customer-portal/catalog/subsidiaries returns the holding company plus each subsidiary with its branch list and its branch and product counts.</w:t>
      </w:r>
    </w:p>
    <w:p>
      <w:pPr>
        <w:pStyle w:val="BodyText"/>
      </w:pPr>
      <w:r>
        <w:t>•  Branch attribution: a nullable branch_id on products (the branch that produces / stocks / fulfils the item) and a nullable home_branch_id on customers (the branch of the customer's own subsidiary that serves the account), plus a real orders.company_id → companies foreign key, via migration 20260829120000_storefront_group_catalog_branch_attribution. Sign-up gains an optional home-branch picker backed by a public GET /customer-portal/auth/branches?companyId=.</w:t>
      </w:r>
    </w:p>
    <w:p>
      <w:pPr>
        <w:pStyle w:val="BodyText"/>
      </w:pPr>
      <w:r>
        <w:t>•  “Which subsidiary and branch is mine”: GET /customer-portal/me and the login / refresh token response now return companyId / companyName, homeBranchId / homeBranchName / homeBranchAddress and the holding company name; the storefront shows them in the header, on My Account and against every product.</w:t>
      </w:r>
    </w:p>
    <w:p>
      <w:pPr>
        <w:pStyle w:val="BodyText"/>
      </w:pPr>
      <w:r>
        <w:t>•  Checkout across subsidiaries: an order — with its invoice and balanced GL posting — belongs to the selling subsidiary, so a basket is placed as one order per subsidiary. The storefront groups the cart by selling company and posts each group in turn; the API rejects a single order that mixes companies (409). A discount code, which belongs to one subsidiary, is offered only on a single-company cart. The customer's credit limit stays one account-wide facility, checked across every subsidiary's invoices.</w:t>
      </w:r>
    </w:p>
    <w:p>
      <w:pPr>
        <w:pStyle w:val="BodyText"/>
      </w:pPr>
      <w:r>
        <w:t>•  Storefront: the Shop page gains company and branch filters and a per-card “company · branch” tag; a new Subsidiaries directory page lists every company in the group with its branches and counts; the cart is sectioned by fulfilling subsidiary with per-company subtotals and a “placed as N separate orders” note; My Account shows “you buy through &lt;subsidiary&gt; · &lt;branch&gt;, part of &lt;holding&gt;”; the new strings are added to the eight fully-translated languages.</w:t>
      </w:r>
    </w:p>
    <w:p>
      <w:pPr>
        <w:pStyle w:val="BodyText"/>
      </w:pPr>
      <w:r>
        <w:t>•  Seed: Morise Agro Ltd's eight products are attributed to its Kira HQ and Mbale branches, and Morise Logistics Ltd is given a four-item priced service catalogue (road freight Kampala–Mombasa and Kampala–Kigali, last-mile delivery, pallet storage) on its Jinja branch, so the group shop is genuinely multi-company; the demo portal customers are given a home branch.</w:t>
      </w:r>
    </w:p>
    <w:p>
      <w:pPr>
        <w:pStyle w:val="BodyText"/>
      </w:pPr>
      <w:r>
        <w:t>Verified end to end: signed in as the Highland Traders Ltd portal account (a Morise Agro customer), the shop lists all twelve products across Morise Agro Ltd and Morise Logistics Ltd, each tagged with its company and branch; the subsidiaries endpoint lists all four subsidiaries with branch and product counts; the company and branch filters narrow the list; GET /me returns the subsidiary, home branch and holding company. A cart mixing Agro and Logistics items is refused (409); a Logistics-only order places ORD-2026-0001 in Morise Logistics Ltd's books, with INV-2026-0001 and a posted sale journal entry (JE-2026-0005) in that company. Backend tsc and both front-end builds are clean.</w:t>
      </w:r>
    </w:p>
    <w:p>
      <w:pPr>
        <w:pStyle w:val="Heading2"/>
      </w:pPr>
      <w:r>
        <w:t>Impact on this document</w:t>
      </w:r>
    </w:p>
    <w:p>
      <w:pPr>
        <w:pStyle w:val="BodyText"/>
      </w:pPr>
      <w:r>
        <w:t>Alpha — exploratory pass over the group shop: the company and branch filters, the subsidiary directory, the grouped cart, the split checkout, and the “your account” panel on My Account.</w:t>
      </w:r>
    </w:p>
    <w:p>
      <w:pPr>
        <w:pStyle w:val="Heading1"/>
      </w:pPr>
      <w:r>
        <w:t>52. Implementation Status Update 47 (29 August 2026) — Clearing / Forwarding and Warehouse-Management Catalogues Added to the Group Storefront</w:t>
      </w:r>
    </w:p>
    <w:p>
      <w:pPr>
        <w:pStyle w:val="BodyText"/>
      </w:pPr>
      <w:r>
        <w:t>Update 46 made the Customer Storefront a group shop but only two subsidiaries had a priced catalogue (Morise Agro Ltd and Morise Logistics Ltd). The remaining two subsidiaries — Morise Clearing &amp; Forwarding Ltd and Morise Warehouse Management Ltd — now also sell in the storefront, so a customer sees the goods and services of all four Morise subsidiaries in one shop.</w:t>
      </w:r>
    </w:p>
    <w:p>
      <w:pPr>
        <w:pStyle w:val="BodyText"/>
      </w:pPr>
      <w:r>
        <w:t>What was delivered (seed data only — no code or schema change; the group-catalogue engine from Update 46 already supports any number of selling subsidiaries):</w:t>
      </w:r>
    </w:p>
    <w:p>
      <w:pPr>
        <w:pStyle w:val="BodyText"/>
      </w:pPr>
      <w:r>
        <w:t>•  Morise Clearing &amp; Forwarding Ltd — six priced services on its Kampala HQ, Entebbe Airport, Malaba and Busia branches: import customs clearance (per entry), air import clearance at Entebbe (per AWB), ocean freight forwarding Mombasa–Kampala (per 20ft container), air freight consolidation (per kg), transit bond &amp; T1 documentation on the Malaba corridor (per consignment), and Certificate of Origin &amp; export-permit handling (per set). Categories: Customs Clearance, Freight Forwarding, Transit &amp; Documentation.</w:t>
      </w:r>
    </w:p>
    <w:p>
      <w:pPr>
        <w:pStyle w:val="BodyText"/>
      </w:pPr>
      <w:r>
        <w:t>•  Morise Warehouse Management Ltd — six priced services on its Kampala Central, Jinja and Mbarara warehouses: ambient pallet storage, chilled cold storage and bonded storage (all per pallet-month), inbound handling &amp; putaway (per pallet), pick / pack / dispatch (per order line), and cycle count &amp; inventory reconciliation (per visit). Categories: Storage, Handling &amp; Fulfilment, Value-Added Services.</w:t>
      </w:r>
    </w:p>
    <w:p>
      <w:pPr>
        <w:pStyle w:val="BodyText"/>
      </w:pPr>
      <w:r>
        <w:t>•  Each of the two companies is given a minimal chart of accounts (Cash and Bank, Accounts Receivable, Accounts Payable, Retained Earnings, Service Revenue, Cost of Services) and an open FY2026-Q1 financial period, so an order placed through the storefront is invoiced and GL-posted in that subsidiary's own books, exactly as for Morise Agro Ltd and Morise Logistics Ltd. Their full Clearing/Forwarding and Warehouse Management systems (documents 19 and 20) remain unbuilt — this is the storefront-facing service list only.</w:t>
      </w:r>
    </w:p>
    <w:p>
      <w:pPr>
        <w:pStyle w:val="BodyText"/>
      </w:pPr>
      <w:r>
        <w:t>Verified end to end: signed in as the Highland Traders Ltd portal account, the shop now lists twenty-four products across all four subsidiaries (Agro 8, Clearing &amp; Forwarding 6, Warehouse Management 6, Logistics 4); the Subsidiaries directory shows every company with a non-zero product count and an enabled “Shop” button; an order placed for a Warehouse Management service creates ORD-2026-0001, INV-2026-0001 and a posted sale journal entry in Morise Warehouse Management Ltd's books, and the same for a Clearing &amp; Forwarding order in that company's books.</w:t>
      </w:r>
    </w:p>
    <w:p>
      <w:pPr>
        <w:pStyle w:val="Heading2"/>
      </w:pPr>
      <w:r>
        <w:t>Impact on this document</w:t>
      </w:r>
    </w:p>
    <w:p>
      <w:pPr>
        <w:pStyle w:val="BodyText"/>
      </w:pPr>
      <w:r>
        <w:t>Alpha — exploratory pass over the Clearing &amp; Forwarding and Warehouse Management listings, their branch tags, and a checkout against each.</w:t>
      </w:r>
    </w:p>
    <w:p>
      <w:pPr>
        <w:pStyle w:val="Heading1"/>
      </w:pPr>
      <w:r>
        <w:t>53. Implementation Status Update 48 (29 August 2026) — Content Localisation Extended to the Group Storefront — Read in the Chosen Language, Store Customer Input in English</w:t>
      </w:r>
    </w:p>
    <w:p>
      <w:pPr>
        <w:pStyle w:val="BodyText"/>
      </w:pPr>
      <w:r>
        <w:t>The "read database text in the customer's language, store the customer's input in English" behaviour first delivered on 27 August 2026 (and extended to promo banners and CMS content on 28 August) now also covers the storefront paths added by the group-catalogue work (sign-up, the group catalogue, the subsidiary directory and My Account). A customer sees the database in the language they chose; an administrator always reads English in the database.</w:t>
      </w:r>
    </w:p>
    <w:p>
      <w:pPr>
        <w:pStyle w:val="BodyText"/>
      </w:pPr>
      <w:r>
        <w:t>Read — shown in the chosen language:</w:t>
      </w:r>
    </w:p>
    <w:p>
      <w:pPr>
        <w:pStyle w:val="BodyText"/>
      </w:pPr>
      <w:r>
        <w:t>•  Every product listing's subsidiary, branch and branch-address tag, the group category list, and the whole Subsidiaries directory (each company name, its branch names and addresses) are now rendered in the customer's language through the same curated glossary the catalogue and support screens use — as far as the glossary reaches; company and place proper nouns largely pass through, while words like "Warehouse", "Forwarding", "Border", "Office", "Freight", "Storage", "Delivery" translate.</w:t>
      </w:r>
    </w:p>
    <w:p>
      <w:pPr>
        <w:pStyle w:val="BodyText"/>
      </w:pPr>
      <w:r>
        <w:t>•  GET /customer-portal/me returns the customer's own business name and address, and the subsidiary / branch / holding-company names, in the chosen language; when the customer is browsing in the language they typed their name or address in, their own exact wording is shown back instead of the glossary-translated English.</w:t>
      </w:r>
    </w:p>
    <w:p>
      <w:pPr>
        <w:pStyle w:val="BodyText"/>
      </w:pPr>
      <w:r>
        <w:t>•  The glossary gained the group-catalogue vocabulary: the eight new service categories (Freight Services, Warehousing Services, Customs Clearance, Freight Forwarding, Transit &amp; Documentation, Storage, Handling &amp; Fulfilment, Value-Added Services) and about thirty recurring service-name tokens (freight, forwarding, customs, clearance, transit, storage, handling, ocean, air, road, delivery, border, bonded, cold, ambient, inbound, dispatch, container, consolidation, cycle count, pick, pack, …), each in the eight fully-translated languages.</w:t>
      </w:r>
    </w:p>
    <w:p>
      <w:pPr>
        <w:pStyle w:val="BodyText"/>
      </w:pPr>
      <w:r>
        <w:t>Write — stored in English only:</w:t>
      </w:r>
    </w:p>
    <w:p>
      <w:pPr>
        <w:pStyle w:val="BodyText"/>
      </w:pPr>
      <w:r>
        <w:t>•  At sign-up the business name and phone number are normalised before storage: the name is mapped to English through the glossary (free-form remainder left to the translation-provider seam, a no-op until a real machine-translation service is configured) and any non-Western numerals a customer typed (for example Arabic-Indic digits in a phone number) are converted to 0-9. On My Account the same is done for the address and phone. The row keeps the source language and the customer's exact original wording (customers.source_language, customers.name_original, customers.address_original — migration 20260829150000_customer_content_originals) so the storefront can show the customer their own words and an administrator still reads the English columns, exactly as delivery addresses and support tickets already work.</w:t>
      </w:r>
    </w:p>
    <w:p>
      <w:pPr>
        <w:pStyle w:val="BodyText"/>
      </w:pPr>
      <w:r>
        <w:t>Verified: signed in as a customer browsing in Swahili, the shop shows "Huduma za Usafirishaji" for Freight Services and "Jinja Tawi" for Jinja Branch, and the Subsidiaries directory names read in Swahili; registering with an Arabic business name and an Arabic-Indic phone number stores "warehouse …" and "+256 701 234 555" in the database with source_language = ar and the original Arabic kept, GET /me returns the original Arabic to that customer and the English column to an English (admin) reader; editing the address in Swahili stores the English form with the Swahili original kept. Backend tsc clean.</w:t>
      </w:r>
    </w:p>
    <w:p>
      <w:pPr>
        <w:pStyle w:val="Heading2"/>
      </w:pPr>
      <w:r>
        <w:t>Impact on this document</w:t>
      </w:r>
    </w:p>
    <w:p>
      <w:pPr>
        <w:pStyle w:val="BodyText"/>
      </w:pPr>
      <w:r>
        <w:t>Alpha — exploratory pass in Swahili and Arabic over the group catalogue, subsidiary directory, sign-up and My Account, checking both the localised display and the stored English.</w:t>
      </w:r>
    </w:p>
    <w:p>
      <w:pPr>
        <w:pStyle w:val="Heading1"/>
      </w:pPr>
      <w:r>
        <w:t>54. Implementation Status Update 49 (29 August 2026) — OpenAPI / Swagger API Documentation for the Phase 1 Backend</w:t>
      </w:r>
    </w:p>
    <w:p>
      <w:pPr>
        <w:pStyle w:val="BodyText"/>
      </w:pPr>
      <w:r>
        <w:t>09_API Specification, Section 1 described this deliverable as "a build-ready specification, not a finished OpenAPI/Swagger contract" and left the machine-readable contract to the engaged development team. That contract now exists and is generated from the running backend code.</w:t>
      </w:r>
    </w:p>
    <w:p>
      <w:pPr>
        <w:pStyle w:val="BodyText"/>
      </w:pPr>
      <w:r>
        <w:t>What was delivered (backend only — no database change, and no change to any endpoint's behaviour, request shape or response envelope):</w:t>
      </w:r>
    </w:p>
    <w:p>
      <w:pPr>
        <w:pStyle w:val="BodyText"/>
      </w:pPr>
      <w:r>
        <w:t>•  @nestjs/swagger is wired into the NestJS / Fastify backend in src/main.ts, with its CLI plugin enabled in nest-cli.json so request and response schemas are derived automatically from the existing class-validator DTOs. At the time of writing the document covers 245 paths, 309 operations and 116 component schemas.</w:t>
      </w:r>
    </w:p>
    <w:p>
      <w:pPr>
        <w:pStyle w:val="BodyText"/>
      </w:pPr>
      <w:r>
        <w:t>•  Interactive documentation (Swagger UI) is served at GET /api/v1/docs and the raw OpenAPI 3 document at GET /api/v1/docs-json, on the same port as the API (3001 in development). Two bearer security schemes — staff and customer — mirror the two JWT audiences already defined in .env (JWT_ACCESS_SECRET and JWT_CUSTOMER_ACCESS_SECRET); the UI’s Authorize state persists across reloads.</w:t>
      </w:r>
    </w:p>
    <w:p>
      <w:pPr>
        <w:pStyle w:val="BodyText"/>
      </w:pPr>
      <w:r>
        <w:t>•  A snapshot of the document is committed at backend/openapi.json and is refreshed with a new npm script, npm run openapi:generate, which reads /api/v1/docs-json from a running instance. Two dependencies were added: @nestjs/swagger and @fastify/static (the Fastify adapter serves the UI’s static assets through the latter).</w:t>
      </w:r>
    </w:p>
    <w:p>
      <w:pPr>
        <w:pStyle w:val="BodyText"/>
      </w:pPr>
      <w:r>
        <w:t>•  Build note: the @nestjs/swagger CLI plugin runs only through nest build / nest start, not a bare tsc invocation, so the backend is now built with npm run build. In this environment tsconfig.tsbuildinfo must be deleted first or the incremental compiler skips re-emitting.</w:t>
      </w:r>
    </w:p>
    <w:p>
      <w:pPr>
        <w:pStyle w:val="BodyText"/>
      </w:pPr>
      <w:r>
        <w:t>Verified end to end: after npm run build and a restart, GET /api/v1/docs returns the Swagger UI (HTTP 200) and GET /api/v1/docs-json returns a valid OpenAPI 3 document (200); POST /api/v1/identity/auth/login was executed from the UI without a token, and the staff access token it returned authorised a follow-up call to a guarded endpoint.</w:t>
      </w:r>
    </w:p>
    <w:p>
      <w:pPr>
        <w:pStyle w:val="Heading2"/>
      </w:pPr>
      <w:r>
        <w:t>Impact on this document</w:t>
      </w:r>
    </w:p>
    <w:p>
      <w:pPr>
        <w:pStyle w:val="BodyText"/>
      </w:pPr>
      <w:r>
        <w:t>Alpha — exploratory pass over /api/v1/docs: authorise with staff then customer tokens, exercise one endpoint per service group, and confirm the operation list matches this API Specification.</w:t>
      </w:r>
    </w:p>
    <w:p>
      <w:pPr>
        <w:pStyle w:val="Heading1"/>
      </w:pPr>
      <w:r>
        <w:t>55. Implementation Status Update 50 (29 August 2026) — Corporate Landing Page &amp; Public Holding-Company Mini-Site</w:t>
      </w:r>
    </w:p>
    <w:p>
      <w:pPr>
        <w:pStyle w:val="BodyText"/>
      </w:pPr>
      <w:r>
        <w:t>The Customer Storefront’s pre-login landing page has been redesigned as the public, holding-company face of Morise Holdings, following the reference mockups in screenshots/files(13)/. It is no longer a single marketing page but a small public site rendered before any sign-in.</w:t>
      </w:r>
    </w:p>
    <w:p>
      <w:pPr>
        <w:pStyle w:val="BodyText"/>
      </w:pPr>
      <w:r>
        <w:t>What was delivered:</w:t>
      </w:r>
    </w:p>
    <w:p>
      <w:pPr>
        <w:pStyle w:val="BodyText"/>
      </w:pPr>
      <w:r>
        <w:t>•  A "paper &amp; bronze" visual system (Fraunces display + Inter text + IBM Plex Mono figures) in a new storefront stylesheet (styles/corporate.css), with a shared utility bar / main navigation / footer and the demonstration disclaimer (components/CorporateLayout.jsx).</w:t>
      </w:r>
    </w:p>
    <w:p>
      <w:pPr>
        <w:pStyle w:val="BodyText"/>
      </w:pPr>
      <w:r>
        <w:t>•  Seven public routes, none behind authentication: the landing page (/), Companies directory (/companies), a per-company page (/companies/:id), Profile (/profile), Group Leadership (/governance/board), Group Overview (/investors/overview), News (/investors/news) and Contacts (/contacts).</w:t>
      </w:r>
    </w:p>
    <w:p>
      <w:pPr>
        <w:pStyle w:val="BodyText"/>
      </w:pPr>
      <w:r>
        <w:t>•  One new backend endpoint — GET /api/v1/customer-portal/public/overview — PUBLIC (no customer token), returning only already-public facts: the holding company, its active subsidiaries with branches and ownership, and roll-up group figures (subsidiaries, branches, catalogue items, categories). It honours Accept-Language like the rest of the storefront. No database or schema change; it reuses the existing group-catalogue resolution, generalised to take no customer.</w:t>
      </w:r>
    </w:p>
    <w:p>
      <w:pPr>
        <w:pStyle w:val="BodyText"/>
      </w:pPr>
      <w:r>
        <w:t>•  The Companies grid, per-company pages and Group Overview table are populated live from that endpoint (four wholly-owned subsidiaries, 14 branches, 24 catalogue items at the time of writing); sector labels and one-line descriptions are presentation-only, keyed by subsidiary name with a generic fallback. Group leadership and news items are clearly labelled illustrative demo data.</w:t>
      </w:r>
    </w:p>
    <w:p>
      <w:pPr>
        <w:pStyle w:val="BodyText"/>
      </w:pPr>
      <w:r>
        <w:t>•  A signed-in customer is unaffected: "/" still shows their dashboard; the storefront, catalogue and account screens are unchanged.</w:t>
      </w:r>
    </w:p>
    <w:p>
      <w:pPr>
        <w:pStyle w:val="BodyText"/>
      </w:pPr>
      <w:r>
        <w:t>Verified end to end: signed out, "/" renders the holding-company landing with live group figures; every public route loads without a token; GET /customer-portal/public/overview returns HTTP 200 with the group shape; the storefront production build passes; signing in still lands on the customer dashboard.</w:t>
      </w:r>
    </w:p>
    <w:p>
      <w:pPr>
        <w:pStyle w:val="Heading2"/>
      </w:pPr>
      <w:r>
        <w:t>Impact on this document</w:t>
      </w:r>
    </w:p>
    <w:p>
      <w:pPr>
        <w:pStyle w:val="BodyText"/>
      </w:pPr>
      <w:r>
        <w:t>Alpha — exploratory pass over the seven public routes signed-out, in English and a right-to-left language; check the live group figures against the admin app and that no public page leaks authenticated data.</w:t>
      </w:r>
    </w:p>
    <w:p>
      <w:pPr>
        <w:pStyle w:val="Heading1"/>
      </w:pPr>
      <w:r>
        <w:t>56. Implementation Status Update 51 (29 August 2026) — Corporate Landing Page Restyled to the Storefront Design System</w:t>
      </w:r>
    </w:p>
    <w:p>
      <w:pPr>
        <w:pStyle w:val="BodyText"/>
      </w:pPr>
      <w:r>
        <w:t>The public corporate mini-site added in Update 50 (landing page, Companies directory + per-company pages, Profile, Group Leadership, Group Overview, News, Contacts) has been restyled so it looks like the rest of the Customer Storefront. This is a presentation-only change.</w:t>
      </w:r>
    </w:p>
    <w:p>
      <w:pPr>
        <w:pStyle w:val="BodyText"/>
      </w:pPr>
      <w:r>
        <w:t>What changed:</w:t>
      </w:r>
    </w:p>
    <w:p>
      <w:pPr>
        <w:pStyle w:val="BodyText"/>
      </w:pPr>
      <w:r>
        <w:t>•  The corporate pages now use the SAME visual system as the shop page (mbms/storefront/src/styles/storefront.css): the system-font stack (-apple-system / Segoe UI / Roboto …), the navy (#1E3A5F) / blue (#2E5395) / amber (#D97706) palette, the #F2F5FA page background, white cards with a 10px radius and a hairline #E2E8F0 border, and the .sf-btn-style buttons and font sizes (24px page-head H1, ~20px section headings, 14px body).</w:t>
      </w:r>
    </w:p>
    <w:p>
      <w:pPr>
        <w:pStyle w:val="BodyText"/>
      </w:pPr>
      <w:r>
        <w:t>•  The earlier “paper &amp; bronze” treatment — the imported Fraunces / IBM Plex Mono web fonts, the cream #F2F0EA background and the serif headings from screenshots/files(13)/ — has been dropped. The web-font @import is removed, so the corporate pages now load no external fonts.</w:t>
      </w:r>
    </w:p>
    <w:p>
      <w:pPr>
        <w:pStyle w:val="BodyText"/>
      </w:pPr>
      <w:r>
        <w:t>•  Only mbms/storefront/src/styles/corporate.css changed. The page structure, routes, component files and the GET /api/v1/customer-portal/public/overview endpoint from Update 50 are untouched; the mc-* class names are unchanged. No backend, API, schema or data change.</w:t>
      </w:r>
    </w:p>
    <w:p>
      <w:pPr>
        <w:pStyle w:val="BodyText"/>
      </w:pPr>
      <w:r>
        <w:t>Verified: the storefront production build passes; signed out, the landing page and the six inner corporate pages render in the storefront’s navy / white / amber styling and sit visually alongside /shop; a signed-in customer still lands on the dashboard.</w:t>
      </w:r>
    </w:p>
    <w:p>
      <w:pPr>
        <w:pStyle w:val="Heading2"/>
      </w:pPr>
      <w:r>
        <w:t>Impact on this document</w:t>
      </w:r>
    </w:p>
    <w:p>
      <w:pPr>
        <w:pStyle w:val="BodyText"/>
      </w:pPr>
      <w:r>
        <w:t>Alpha — quick visual pass: the seven public routes match the storefront’s styling in English and a right-to-left language; no external font request in the network panel.</w:t>
      </w:r>
    </w:p>
    <w:p>
      <w:pPr>
        <w:pStyle w:val="Heading1"/>
      </w:pPr>
      <w:r>
        <w:t>57. Implementation Status Update 52 (29 August 2026) — Public Content Pages Folded Into the Corporate Site Chrome</w:t>
      </w:r>
    </w:p>
    <w:p>
      <w:pPr>
        <w:pStyle w:val="BodyText"/>
      </w:pPr>
      <w:r>
        <w:t>The public CMS content pages at /page/:slug (About, Terms, Delivery — linked from the corporate site’s utility bar and footer) now render inside the same shell and styling as the rest of the pre-login corporate mini-site (landing, Companies, Group Overview, News, Contacts). Presentation-only.</w:t>
      </w:r>
    </w:p>
    <w:p>
      <w:pPr>
        <w:pStyle w:val="BodyText"/>
      </w:pPr>
      <w:r>
        <w:t>What changed:</w:t>
      </w:r>
    </w:p>
    <w:p>
      <w:pPr>
        <w:pStyle w:val="BodyText"/>
      </w:pPr>
      <w:r>
        <w:t>•  ContentPage (mbms/storefront/src/pages/Page.jsx) now wraps its body in &lt;CorporateLayout&gt; — the shared utility bar, main navigation, footer and demonstration disclaimer — and uses the mc-* classes and the storefront design system (system fonts; navy / white / amber). It previously used a stripped-down header of its own and the earlier landing-page styling.</w:t>
      </w:r>
    </w:p>
    <w:p>
      <w:pPr>
        <w:pStyle w:val="BodyText"/>
      </w:pPr>
      <w:r>
        <w:t>•  One small block of card / article styles was added to mbms/storefront/src/styles/corporate.css (.mc-article). No other file changed.</w:t>
      </w:r>
    </w:p>
    <w:p>
      <w:pPr>
        <w:pStyle w:val="BodyText"/>
      </w:pPr>
      <w:r>
        <w:t>•  No change to the content itself, to the CMS admin screen, or to the endpoint that serves it (GET /api/v1/customer-portal/content/:slug — still public, unchanged). No backend, API, schema or data change.</w:t>
      </w:r>
    </w:p>
    <w:p>
      <w:pPr>
        <w:pStyle w:val="BodyText"/>
      </w:pPr>
      <w:r>
        <w:t>Verified: /page/about and /page/terms render with the corporate utility bar / nav / footer and the storefront’s navy / white / amber styling, matching /, /companies, /investors/overview, /investors/news and /contacts; the storefront production build passes; a signed-in customer still lands on the dashboard.</w:t>
      </w:r>
    </w:p>
    <w:p>
      <w:pPr>
        <w:pStyle w:val="Heading2"/>
      </w:pPr>
      <w:r>
        <w:t>Impact on this document</w:t>
      </w:r>
    </w:p>
    <w:p>
      <w:pPr>
        <w:pStyle w:val="BodyText"/>
      </w:pPr>
      <w:r>
        <w:t>Alpha — quick visual pass: /page/about and /page/terms match the corporate pages in English and a right-to-left language.</w:t>
      </w:r>
    </w:p>
    <w:p>
      <w:pPr>
        <w:pStyle w:val="Heading1"/>
      </w:pPr>
      <w:r>
        <w:t>58. Implementation Status Update 53 (29 August 2026) — Social Media Channels — Managed in Admin, Shown in the Storefront</w:t>
      </w:r>
    </w:p>
    <w:p>
      <w:pPr>
        <w:pStyle w:val="BodyText"/>
      </w:pPr>
      <w:r>
        <w:t>An administrator can now add the group’s social media channels in Admin » CMS / Site Builder, and they appear in the storefront footer — both the pre-login corporate pages and the signed-in customer pages.</w:t>
      </w:r>
    </w:p>
    <w:p>
      <w:pPr>
        <w:pStyle w:val="BodyText"/>
      </w:pPr>
      <w:r>
        <w:t>What was delivered:</w:t>
      </w:r>
    </w:p>
    <w:p>
      <w:pPr>
        <w:pStyle w:val="BodyText"/>
      </w:pPr>
      <w:r>
        <w:t>•  New table social_links (migration 20260829180000_social_media_links) — platform (enum: facebook, x, instagram, linkedin, youtube, tiktok, whatsapp, telegram, other), optional label, url, sort_order, is_visible, created_by, timestamps. Site-wide, not per-company — the same scope model as content pages.</w:t>
      </w:r>
    </w:p>
    <w:p>
      <w:pPr>
        <w:pStyle w:val="BodyText"/>
      </w:pPr>
      <w:r>
        <w:t>•  Admin API under /api/v1/cms: GET /cms/social-links (needs cms.viewAll or cms.manage), POST /cms/social-links, PATCH /cms/social-links/{id}, DELETE /cms/social-links/{id} (all writes need cms.manage). New service SocialLinksService in the CMS module; every write is audited (cms.social_link.created / updated / deleted, entity_type social_link). No new permission — it reuses cms.manage / cms.viewAll.</w:t>
      </w:r>
    </w:p>
    <w:p>
      <w:pPr>
        <w:pStyle w:val="BodyText"/>
      </w:pPr>
      <w:r>
        <w:t>•  Public API: GET /api/v1/customer-portal/public/social-links — PUBLIC, no token — returns the visible channels in the admin-set order ({ platform, label, url }); honours Accept-Language for the label.</w:t>
      </w:r>
    </w:p>
    <w:p>
      <w:pPr>
        <w:pStyle w:val="BodyText"/>
      </w:pPr>
      <w:r>
        <w:t>•  Admin UI: a “Social media channels” panel on the CMS / Site Builder screen — list with visible/hidden toggle, re-order, remove, and an add row (platform, URL, label). Storefront: the footer of CorporateLayout (corporate pages) and of the signed-in Layout renders a “Follow us” row of channel links; an empty list renders nothing.</w:t>
      </w:r>
    </w:p>
    <w:p>
      <w:pPr>
        <w:pStyle w:val="BodyText"/>
      </w:pPr>
      <w:r>
        <w:t>•  Seed: Facebook, X, LinkedIn and Instagram seeded as visible, a WhatsApp channel seeded hidden, all owned by the Managing Director (fixed ids, idempotent).</w:t>
      </w:r>
    </w:p>
    <w:p>
      <w:pPr>
        <w:pStyle w:val="BodyText"/>
      </w:pPr>
      <w:r>
        <w:t>Verified end to end: signed in as the Managing Director, added and toggled a channel via /cms/social-links; GET /customer-portal/public/social-links immediately reflected the visible set (a hidden channel is excluded, appears the moment it is shown); the storefront and admin production builds pass; OpenAPI now documents the three new paths.</w:t>
      </w:r>
    </w:p>
    <w:p>
      <w:pPr>
        <w:pStyle w:val="Heading2"/>
      </w:pPr>
      <w:r>
        <w:t>Impact on this document</w:t>
      </w:r>
    </w:p>
    <w:p>
      <w:pPr>
        <w:pStyle w:val="BodyText"/>
      </w:pPr>
      <w:r>
        <w:t>Alpha — exploratory pass: add every platform type, very long label, non-https URL (rejected), re-order, hide/show; check the footer on a corporate page and a signed-in page, in English and a right-to-left language.</w:t>
      </w:r>
    </w:p>
    <w:p>
      <w:pPr>
        <w:pStyle w:val="Heading1"/>
      </w:pPr>
      <w:r>
        <w:t>59. Implementation Status Update 54 (29 August 2026) — Landing-page Newsletter Sign-up and FAQ Section</w:t>
      </w:r>
    </w:p>
    <w:p>
      <w:pPr>
        <w:pStyle w:val="BodyText"/>
      </w:pPr>
      <w:r>
        <w:t>The corporate landing page gains a Newsletter sign-up band and an FAQ section. The FAQ items are managed by an administrator in Admin » CMS / Site Builder; newsletter sign-ups are captured from the landing page and listed for administrators there too.</w:t>
      </w:r>
    </w:p>
    <w:p>
      <w:pPr>
        <w:pStyle w:val="BodyText"/>
      </w:pPr>
      <w:r>
        <w:t>What was delivered:</w:t>
      </w:r>
    </w:p>
    <w:p>
      <w:pPr>
        <w:pStyle w:val="BodyText"/>
      </w:pPr>
      <w:r>
        <w:t>•  Two new tables (migration 20260829200000_landing_faq_newsletter). faq_items — question VARCHAR(300), answer TEXT, sort_order, is_visible, created_by, timestamps (site-wide, same scope model as content pages). newsletter_subscribers — email VARCHAR(255) UNIQUE, status (enum NewsletterStatus: subscribed / unsubscribed), source VARCHAR(80), timestamps.</w:t>
      </w:r>
    </w:p>
    <w:p>
      <w:pPr>
        <w:pStyle w:val="BodyText"/>
      </w:pPr>
      <w:r>
        <w:t>•  Admin API on /api/v1/cms (JWT + cms permissions): GET/POST/PATCH/DELETE /cms/faqs (writes need cms.manage; reads cms.viewAll or cms.manage); GET /cms/newsletter-subscribers (read, with total / subscribed / unsubscribed counts) and DELETE /cms/newsletter-subscribers/{id} (cms.manage). No new permission — reuses cms.manage / cms.viewAll. FAQ writes are audited (cms.faq_item.created / updated / deleted); a subscriber delete is audited (cms.newsletter_subscriber.deleted).</w:t>
      </w:r>
    </w:p>
    <w:p>
      <w:pPr>
        <w:pStyle w:val="BodyText"/>
      </w:pPr>
      <w:r>
        <w:t>•  Public API (no token): GET /api/v1/customer-portal/public/faqs — visible items in the admin order, { id, question, answer }, Accept-Language applied. POST /api/v1/customer-portal/public/newsletter { email, source? } — rate-limited (10 / minute / IP, SEC-05 style), idempotent, and non-enumerating (always returns { subscribed: true }; a repeat sign-up or a previously-unsubscribed address is silently re-subscribed).</w:t>
      </w:r>
    </w:p>
    <w:p>
      <w:pPr>
        <w:pStyle w:val="BodyText"/>
      </w:pPr>
      <w:r>
        <w:t>•  Admin UI: a “Landing-page FAQ” panel (inline-edit question / answer, show-hide, re-order, add, remove) and a read-only “Newsletter sign-ups” panel (counts + list + remove) on the CMS / Site Builder screen. Storefront: a NewsletterSection band and an expand/collapse FaqSection on the landing page; the FAQ section is omitted when there are no visible items.</w:t>
      </w:r>
    </w:p>
    <w:p>
      <w:pPr>
        <w:pStyle w:val="BodyText"/>
      </w:pPr>
      <w:r>
        <w:t>•  Seed: five demo FAQ items (four visible, one hidden), owned by the Managing Director (fixed ids, idempotent). No newsletter subscribers seeded.</w:t>
      </w:r>
    </w:p>
    <w:p>
      <w:pPr>
        <w:pStyle w:val="BodyText"/>
      </w:pPr>
      <w:r>
        <w:t>Verified end to end: as the Managing Director, listed and edited FAQ items via /cms/faqs; GET /customer-portal/public/faqs returned only the visible four; POST /customer-portal/public/newsletter accepted a new address (201) and a repeat (still 201), rejected a malformed address (400), and the sign-up appeared in GET /cms/newsletter-subscribers; the storefront and admin production builds pass; OpenAPI now documents the six new paths.</w:t>
      </w:r>
    </w:p>
    <w:p>
      <w:pPr>
        <w:pStyle w:val="Heading2"/>
      </w:pPr>
      <w:r>
        <w:t>Impact on this document</w:t>
      </w:r>
    </w:p>
    <w:p>
      <w:pPr>
        <w:pStyle w:val="BodyText"/>
      </w:pPr>
      <w:r>
        <w:t>Alpha — exploratory pass: long question / answer, hide/show, re-order; submit valid, invalid and repeated emails; rapid repeated sign-ups (expect throttling); check the FAQ section and newsletter band in English and a right-to-left language.</w:t>
      </w:r>
    </w:p>
    <w:p>
      <w:pPr>
        <w:pStyle w:val="Heading1"/>
      </w:pPr>
      <w:r>
        <w:t>60. Implementation Status Update 55 (30 August 2026) — Content Localisation Completed — Orders &amp; Payments (Read in Chosen Language, Store Input in English)</w:t>
      </w:r>
    </w:p>
    <w:p>
      <w:pPr>
        <w:pStyle w:val="BodyText"/>
      </w:pPr>
      <w:r>
        <w:t>The "read database text in the customer’s language, store the customer’s input in English" behaviour (Updates 32, 33, 39, 48) is now also applied to the two customer-facing areas it had not yet reached — order history and payments — closing the gap so the rule holds across the whole storefront.</w:t>
      </w:r>
    </w:p>
    <w:p>
      <w:pPr>
        <w:pStyle w:val="BodyText"/>
      </w:pPr>
      <w:r>
        <w:t>READ — shown in the chosen language (Accept-Language):</w:t>
      </w:r>
    </w:p>
    <w:p>
      <w:pPr>
        <w:pStyle w:val="BodyText"/>
      </w:pPr>
      <w:r>
        <w:t>•  GET /customer-portal/orders and /orders/{id} now return each line item’s product name, the selling subsidiary name, and the cancellation reason in the customer’s language, as far as the content glossary reaches; digits follow the language’s script. When the customer cancelled the order in the language they are now browsing in, their exact original wording is shown back instead of the translated English. The order-placement confirmation is localised the same way.</w:t>
      </w:r>
    </w:p>
    <w:p>
      <w:pPr>
        <w:pStyle w:val="BodyText"/>
      </w:pPr>
      <w:r>
        <w:t>WRITE — stored in English + 0-9 only:</w:t>
      </w:r>
    </w:p>
    <w:p>
      <w:pPr>
        <w:pStyle w:val="BodyText"/>
      </w:pPr>
      <w:r>
        <w:t>•  An order cancellation reason a customer types is normalised to English before it is stored (glossary + digit-normalise). The row keeps the customer’s exact original and its source language — new columns orders.cancellation_reason_original and orders.cancellation_source_language (migration 20260829210000_order_cancellation_reason_localisation) — the same shape delivery addresses, support tickets and the customer record already use. Staff who cancel an order type English; no original is kept.</w:t>
      </w:r>
    </w:p>
    <w:p>
      <w:pPr>
        <w:pStyle w:val="BodyText"/>
      </w:pPr>
      <w:r>
        <w:t>•  A payment reference (a bank / mobile-money transaction id) has its digits normalised to 0-9 on write, so a reference a customer typed in another numeral script is stored in the form a bank statement uses. It is an identifier, not prose — nothing else about it changes.</w:t>
      </w:r>
    </w:p>
    <w:p>
      <w:pPr>
        <w:pStyle w:val="BodyText"/>
      </w:pPr>
      <w:r>
        <w:t>No new endpoint and no new permission; the existing order routes now honour Accept-Language and the cancel route normalises its input. Staff always read and write English.</w:t>
      </w:r>
    </w:p>
    <w:p>
      <w:pPr>
        <w:pStyle w:val="BodyText"/>
      </w:pPr>
      <w:r>
        <w:t>Verified end to end: browsing in Swahili, order ORD-2026-0011’s line "Bean Seed — 10kg Bag" reads "Maharage Mbegu — 10kg Mfuko"; cancelling an order in Swahili with reason "Ghala" stores cancellation_reason = "Warehouse" with cancellation_reason_original = "Ghala" and cancellation_source_language = "sw" — an English (admin) read shows "Warehouse", the Swahili customer sees "Ghala"; a payment reference "MP٢٤٠٨٢٩.٠٠١" is stored as "MP240829.001". The backend build is clean.</w:t>
      </w:r>
    </w:p>
    <w:p>
      <w:pPr>
        <w:pStyle w:val="Heading2"/>
      </w:pPr>
      <w:r>
        <w:t>Impact on this document</w:t>
      </w:r>
    </w:p>
    <w:p>
      <w:pPr>
        <w:pStyle w:val="BodyText"/>
      </w:pPr>
      <w:r>
        <w:t>Alpha — exploratory pass in Swahili and Arabic over order history, order cancellation and payment: localised names and digits on read; English + original on write; payment reference digits normalised.</w:t>
      </w:r>
    </w:p>
    <w:p>
      <w:pPr>
        <w:pStyle w:val="Heading1"/>
      </w:pPr>
      <w:r>
        <w:t>61. Implementation Status Update 56 (30 August 2026) — Content Localisation — Final Edges (Dashboard, Account Statement &amp; Exported PDFs, Discount-Code Input)</w:t>
      </w:r>
    </w:p>
    <w:p>
      <w:pPr>
        <w:pStyle w:val="BodyText"/>
      </w:pPr>
      <w:r>
        <w:t>A sweep of every remaining customer-facing read and write path found three edges the "read in the customer’s language / store the customer’s input in English" rule had not yet reached; all three are now closed, so the rule holds everywhere a customer sees text or types it.</w:t>
      </w:r>
    </w:p>
    <w:p>
      <w:pPr>
        <w:pStyle w:val="BodyText"/>
      </w:pPr>
      <w:r>
        <w:t>READ — now shown in the chosen language (Accept-Language):</w:t>
      </w:r>
    </w:p>
    <w:p>
      <w:pPr>
        <w:pStyle w:val="BodyText"/>
      </w:pPr>
      <w:r>
        <w:t>•  GET /customer-portal/dashboard-summary — the Home screen’s "Recent Orders" widget: line-item product names and the selling subsidiary name (it passes the language through to the order projection).</w:t>
      </w:r>
    </w:p>
    <w:p>
      <w:pPr>
        <w:pStyle w:val="BodyText"/>
      </w:pPr>
      <w:r>
        <w:t>•  GET /customer-portal/invoices/statement — each transaction row now carries a typeLabel ("invoice" / "payment") in the customer’s language alongside the machine type.</w:t>
      </w:r>
    </w:p>
    <w:p>
      <w:pPr>
        <w:pStyle w:val="BodyText"/>
      </w:pPr>
      <w:r>
        <w:t>•  GET /customer-portal/invoices/statement/pdf and /invoices/{id}/pdf — the exported Account Statement and Invoice PDFs are labelled in the customer’s language (title, "Balance", the column headers, the row type and the invoice status), with digits transliterated. The storefront now sends Accept-Language on the download too. Known limit: PDFKit’s built-in font renders Latin scripts and 0-9 only, so a non-Latin script (Arabic, CJK, …) still shows those label words in English — font embedding is the follow-up, the same class of seam as free-prose translation.</w:t>
      </w:r>
    </w:p>
    <w:p>
      <w:pPr>
        <w:pStyle w:val="BodyText"/>
      </w:pPr>
      <w:r>
        <w:t>WRITE — matched / stored in English + 0-9:</w:t>
      </w:r>
    </w:p>
    <w:p>
      <w:pPr>
        <w:pStyle w:val="BodyText"/>
      </w:pPr>
      <w:r>
        <w:t>•  A discount code a customer types at checkout or in the validate call is normalised to 0-9 before the look-up (a code entered as "WELCOME١٠" now matches "WELCOME10"), then upper-cased — on both POST /customer-portal/orders and POST /customer-portal/discount-codes/validate.</w:t>
      </w:r>
    </w:p>
    <w:p>
      <w:pPr>
        <w:pStyle w:val="BodyText"/>
      </w:pPr>
      <w:r>
        <w:t>Glossary: added the account-statement / invoice-PDF label vocabulary ("Account Statement", "Balance", "Date", "Type", "Reference", "Amount", "Running Balance", "Order", "Status", "Invoice Number", "Due Date", "Paid At", the row types "invoice"/"payment", and the invoice statuses paid / overdue / due_soon / upcoming) for the eight fully-translated languages.</w:t>
      </w:r>
    </w:p>
    <w:p>
      <w:pPr>
        <w:pStyle w:val="BodyText"/>
      </w:pPr>
      <w:r>
        <w:t>No new endpoint, no new permission, no schema change. Staff always read and write English.</w:t>
      </w:r>
    </w:p>
    <w:p>
      <w:pPr>
        <w:pStyle w:val="BodyText"/>
      </w:pPr>
      <w:r>
        <w:t>Verified end to end: browsing in Swahili, the dashboard’s recent orders read "Maharage Mbegu — 10kg Mfuko"; the statement rows read "ankara" / "malipo"; the statement PDF header reads "Taarifa ya Akaunti … Tarehe / Aina / Kumbukumbu / Kiasi / Salio Linaloendelea" (and "Relevé de compte …" in French); a discount code "WELCOME١٠" is matched as "WELCOME10". Backend build clean; OpenAPI regenerated.</w:t>
      </w:r>
    </w:p>
    <w:p>
      <w:pPr>
        <w:pStyle w:val="Heading2"/>
      </w:pPr>
      <w:r>
        <w:t>Impact on this document</w:t>
      </w:r>
    </w:p>
    <w:p>
      <w:pPr>
        <w:pStyle w:val="BodyText"/>
      </w:pPr>
      <w:r>
        <w:t>Alpha — exploratory pass in Swahili, French and Arabic over the dashboard, the statement and its PDF, and discount-code entry; confirm English + 0-9 in every stored value and the documented PDF font limitation for Arabic.</w:t>
      </w:r>
    </w:p>
    <w:p>
      <w:pPr>
        <w:pStyle w:val="Heading1"/>
      </w:pPr>
      <w:r>
        <w:t>62. Implementation Status Update 57 (30 August 2026) — Collateral Management Subsidiary + Multi-Site Collateral Management System Specification (New Doc 21)</w:t>
      </w:r>
    </w:p>
    <w:p>
      <w:pPr>
        <w:pStyle w:val="BodyText"/>
      </w:pPr>
      <w:r>
        <w:t>Using the same subsidiary-lifecycle capability, the Managing Director has set up a third specification-stage subsidiary — Morise Collateral Management Ltd — a wholly-owned collateral management agent (CMA) that monitors physical goods pledged as collateral (commodities, inventory, stored assets) for banks and financiers across many client sites (warehouses, silos, tank farms, yards, cold stores).</w:t>
      </w:r>
    </w:p>
    <w:p>
      <w:pPr>
        <w:pStyle w:val="BodyText"/>
      </w:pPr>
      <w:r>
        <w:t>Delivered — seed data only, no code / schema / permission change:</w:t>
      </w:r>
    </w:p>
    <w:p>
      <w:pPr>
        <w:pStyle w:val="BodyText"/>
      </w:pPr>
      <w:r>
        <w:t>•  Org structure seeded in seed.ts and fully manageable by the Managing Director (view / create / update / delete / activate): the company (a1000000-…-000000000006, wholly-owned, UGX, FY 1 January, registered office Nakasero, Kampala); 6 sites / branches (Kampala Head Office, Jinja Grain Silos, Mbale Warehouse, Masindi Grain Store, Kasese Cold Store, Buikwe Tank Farm); 9 departments (Field Inspection; Site &amp; Warehouse Management; Stock &amp; Collateral Control; Inspection &amp; Audit; Release &amp; Movement Authorization; Client &amp; Lender Relations; Compliance &amp; Risk; Workforce &amp; Rostering; IT &amp; Integrations); and 6 starter policies (GPS &amp; Evidence Integrity; Dual-Control Release Approval; Coverage Threshold Auto-Hold; Offline Field Sync; Multi-Client Stock Segregation; Inspection Frequency by Risk).</w:t>
      </w:r>
    </w:p>
    <w:p>
      <w:pPr>
        <w:pStyle w:val="BodyText"/>
      </w:pPr>
      <w:r>
        <w:t>•  A new numbered document — 21_Multi-Site Collateral Management System — Feature Specification — restates the client-supplied specification (retained in docx/ as Multi-Site-Collateral-Management-System-Feature-Specification.docx) in the house format of docs 19 and 20: ten feature modules (Site &amp; Warehouse Management; Field Inspector Operations / mobile app; Staff &amp; Workforce Management; Stock &amp; Collateral Management; Inspection &amp; Audit Workflow; Release &amp; Movement Authorization; Client / Lender Portal; Alerts &amp; Notifications; Reporting &amp; Compliance; Document Management), plus non-functional requirements, an architecture overview, the integration-points and phased-roadmap tables, user roles, the suggested technology stack, the organisation-as-built section, the relationship to the existing MBMS platform, and approval.</w:t>
      </w:r>
    </w:p>
    <w:p>
      <w:pPr>
        <w:pStyle w:val="BodyText"/>
      </w:pPr>
      <w:r>
        <w:t>•  None of the CMS modules are implemented. The subsidiary appears in the group directory / Group Overview (five subsidiaries now, 20 sites / branches) with no priced catalogue — it is a monitoring and inspection service, not a shop. A storefront presentation entry (sector + blurb) was added for its corporate-site card.</w:t>
      </w:r>
    </w:p>
    <w:p>
      <w:pPr>
        <w:pStyle w:val="BodyText"/>
      </w:pPr>
      <w:r>
        <w:t>Verified: after re-seed, GET /customer-portal/public/overview lists Morise Collateral Management Ltd with 6 branches and 0 products; the database holds the company, 6 branches, 9 departments and 6 policies under it; no migration ran (schema unchanged).</w:t>
      </w:r>
    </w:p>
    <w:p>
      <w:pPr>
        <w:pStyle w:val="Heading2"/>
      </w:pPr>
      <w:r>
        <w:t>Impact on this document</w:t>
      </w:r>
    </w:p>
    <w:p>
      <w:pPr>
        <w:pStyle w:val="BodyText"/>
      </w:pPr>
      <w:r>
        <w:t>Alpha — exploratory check that the new subsidiary and its sites load everywhere a company / branch list appears (admin org screens, the public Companies directory and Group Overview) without error.</w:t>
      </w:r>
    </w:p>
    <w:p>
      <w:pPr>
        <w:pStyle w:val="Heading1"/>
      </w:pPr>
      <w:r>
        <w:t>63. Implementation Status Update 58 (30 August 2026) — Full-page Demonstration-Disclaimer Gate (10-second Hold) + Admin-Managed Disclaimer Statements</w:t>
      </w:r>
    </w:p>
    <w:p>
      <w:pPr>
        <w:pStyle w:val="BodyText"/>
      </w:pPr>
      <w:r>
        <w:t>The demonstration disclaimer that used to appear as a dismissible modal over the corporate landing page is now a full-page gate a signed-out visitor must pass through first: the disclaimer is shown for a hold period (10 seconds by default, set server-side) with a live countdown on the button, then an "I Understand, Continue" button becomes active and the landing page appears. The acknowledgement is remembered per browser, so a return visitor goes straight to the landing page.</w:t>
      </w:r>
    </w:p>
    <w:p>
      <w:pPr>
        <w:pStyle w:val="BodyText"/>
      </w:pPr>
      <w:r>
        <w:t>The disclaimer text is now managed by admin staff, not hard-coded:</w:t>
      </w:r>
    </w:p>
    <w:p>
      <w:pPr>
        <w:pStyle w:val="BodyText"/>
      </w:pPr>
      <w:r>
        <w:t>•  New table disclaimer_items (migration 20260830130000_site_disclaimer) — body (text), sort_order, is_visible, created_by, timestamps. Site-wide, the same scope model as faq_items / social_links.</w:t>
      </w:r>
    </w:p>
    <w:p>
      <w:pPr>
        <w:pStyle w:val="BodyText"/>
      </w:pPr>
      <w:r>
        <w:t>•  Admin API on /api/v1/cms (JWT + cms permissions): GET / POST / PATCH / DELETE /cms/disclaimer-items — writes need cms.manage, reads cms.viewAll or cms.manage. No new permission. Every write is audited (cms.disclaimer_item.created / updated / deleted).</w:t>
      </w:r>
    </w:p>
    <w:p>
      <w:pPr>
        <w:pStyle w:val="BodyText"/>
      </w:pPr>
      <w:r>
        <w:t>•  Public API (no token): GET /api/v1/customer-portal/public/disclaimer → { holdSeconds, items: [{ id, body }] } — visible statements in the admin-set order, Accept-Language applied to the text, and the hold period the gate counts down.</w:t>
      </w:r>
    </w:p>
    <w:p>
      <w:pPr>
        <w:pStyle w:val="BodyText"/>
      </w:pPr>
      <w:r>
        <w:t>•  Admin UI: a "Site disclaimer" panel on the CMS / Site Builder screen (inline-edit statement, show / hide, re-order, add, remove). Storefront: a new full-page DisclaimerGate component gates "/" for a signed-out, un-acknowledged visitor; the deep-link corporate marketing routes redirect back through it. The old CorporateLayout modal remains only as a "Read disclaimer" re-opener, now fed by the same admin statements.</w:t>
      </w:r>
    </w:p>
    <w:p>
      <w:pPr>
        <w:pStyle w:val="BodyText"/>
      </w:pPr>
      <w:r>
        <w:t>•  Seed: five demonstration statements (proof-of-concept build; demo data; simulated payments; do not enter real information; access is issued by Morise Holdings), owned by the Managing Director (fixed ids, idempotent).</w:t>
      </w:r>
    </w:p>
    <w:p>
      <w:pPr>
        <w:pStyle w:val="BodyText"/>
      </w:pPr>
      <w:r>
        <w:t>Verified end to end: signed out, "/" shows the disclaimer gate with the five seeded statements and a disabled button counting down from 10; after the countdown the button activates and continuing shows the landing page; a reload goes straight to the landing page. As the Managing Director, adding a statement via /cms/disclaimer-items made it appear immediately in GET /customer-portal/public/disclaimer. Storefront and admin production builds pass; OpenAPI documents the three new paths.</w:t>
      </w:r>
    </w:p>
    <w:p>
      <w:pPr>
        <w:pStyle w:val="Heading2"/>
      </w:pPr>
      <w:r>
        <w:t>Impact on this document</w:t>
      </w:r>
    </w:p>
    <w:p>
      <w:pPr>
        <w:pStyle w:val="BodyText"/>
      </w:pPr>
      <w:r>
        <w:t>Alpha — exploratory pass: very long statement, hide / show, re-order; check the gate and its countdown in English and a right-to-left language; deep-link the marketing routes while un-acknowledged.</w:t>
      </w:r>
    </w:p>
    <w:p>
      <w:pPr>
        <w:pStyle w:val="Heading1"/>
      </w:pPr>
      <w:r>
        <w:t>64. Implementation Status Update 59 (30 August 2026) — Disclaimer Gate &amp; Corporate Landing Pages Localised into the Chosen Language</w:t>
      </w:r>
    </w:p>
    <w:p>
      <w:pPr>
        <w:pStyle w:val="BodyText"/>
      </w:pPr>
      <w:r>
        <w:t>The pre-login corporate surface — the full-page disclaimer gate, the landing page and the rest of the corporate mini-site (Companies, Profile, Group Leadership, Group Overview, News, Contacts, footer) — now renders in the language the visitor chooses, not only in English.</w:t>
      </w:r>
    </w:p>
    <w:p>
      <w:pPr>
        <w:pStyle w:val="BodyText"/>
      </w:pPr>
      <w:r>
        <w:t>What was delivered (front-end + glossary; no schema, endpoint or permission change):</w:t>
      </w:r>
    </w:p>
    <w:p>
      <w:pPr>
        <w:pStyle w:val="BodyText"/>
      </w:pPr>
      <w:r>
        <w:t>•  The 144 corporate / disclaimer / landing UI strings (previously English-only) are translated into the eight fully-supported languages — Swahili, Luganda, French, Spanish, Portuguese, German, Italian and Arabic — in locales/eu.js and locales/regional.js, so choosing one of those changes the whole pre-login surface, headings, labels, buttons and the disclaimer-gate countdown ("Please read — continue in Ns") included.</w:t>
      </w:r>
    </w:p>
    <w:p>
      <w:pPr>
        <w:pStyle w:val="BodyText"/>
      </w:pPr>
      <w:r>
        <w:t>•  The five seeded disclaimer statements are added to the content-translation glossary (content-glossary.ts) for the same eight languages, so GET /customer-portal/public/disclaimer returns them in the chosen language (Accept-Language), the same way the seeded CMS content-page bodies already do. An admin-added statement beyond the seeded five falls through untranslated until a real machine-translation provider is wired in — the documented glossary limit.</w:t>
      </w:r>
    </w:p>
    <w:p>
      <w:pPr>
        <w:pStyle w:val="BodyText"/>
      </w:pPr>
      <w:r>
        <w:t>•  First-visit language detection: with no stored choice, the storefront now honours an explicit ?lang=&lt;code&gt; on the URL (persisted), then the browser’s own preferred languages (navigator.languages), before falling back to English — so a Swahili, French or Arabic browser lands on its own language on the gate and landing page. The language picker on the gate still overrides and remembers the visitor’s explicit choice.</w:t>
      </w:r>
    </w:p>
    <w:p>
      <w:pPr>
        <w:pStyle w:val="BodyText"/>
      </w:pPr>
      <w:r>
        <w:t>•  Right-to-left safety net for Arabic: a small [dir="rtl"] block in corporate.css fixes the physically-placed bits (the gate’s list alignment, the overview table’s right-aligned figures, the FAQ question row, the two-column detail grids); the browser mirrors the rest from document.dir.</w:t>
      </w:r>
    </w:p>
    <w:p>
      <w:pPr>
        <w:pStyle w:val="BodyText"/>
      </w:pPr>
      <w:r>
        <w:t>Verified: the disclaimer gate opened at /?lang=sw, /?lang=fr and /?lang=ar renders its heading, the five statements, the countdown button, the hint line and the "Customer sign in" link entirely in that language, with the Arabic layout mirrored right-to-left; GET /customer-portal/public/disclaimer with Accept-Language: sw / fr / ar returns the statements translated. Storefront and admin production builds pass.</w:t>
      </w:r>
    </w:p>
    <w:p>
      <w:pPr>
        <w:pStyle w:val="Heading2"/>
      </w:pPr>
      <w:r>
        <w:t>Impact on this document</w:t>
      </w:r>
    </w:p>
    <w:p>
      <w:pPr>
        <w:pStyle w:val="BodyText"/>
      </w:pPr>
      <w:r>
        <w:t>Alpha — exploratory pass over the gate and all corporate pages in Swahili, French and Arabic; check the countdown label, the RTL layout, and that no pre-login string remains in English for a fully-supported language.</w:t>
      </w:r>
    </w:p>
    <w:p>
      <w:pPr>
        <w:pStyle w:val="Heading1"/>
      </w:pPr>
      <w:r>
        <w:t>65. Implementation Status Update 60 (30 August 2026) — Morise Collateral Management Ltd — Priced Services Catalogue Added to the Group Storefront</w:t>
      </w:r>
    </w:p>
    <w:p>
      <w:pPr>
        <w:pStyle w:val="BodyText"/>
      </w:pPr>
      <w:r>
        <w:t>Update 57 seeded Morise Collateral Management Ltd as an org structure only, with no storefront catalogue. It now has a priced service catalogue in the group storefront, drawn from the client-supplied reference catalogue “Services Offered by Collateral Management Companies” (retained in docx/ as Collateral-Management-Company-Services-Catalog.docx).</w:t>
      </w:r>
    </w:p>
    <w:p>
      <w:pPr>
        <w:pStyle w:val="BodyText"/>
      </w:pPr>
      <w:r>
        <w:t>What was delivered (seed data only — no code, schema or permission change; the group-storefront engine already supports any number of sellers):</w:t>
      </w:r>
    </w:p>
    <w:p>
      <w:pPr>
        <w:pStyle w:val="BodyText"/>
      </w:pPr>
      <w:r>
        <w:t>•  Ten priced services (CMC-5001–CMC-5010) across five storefront categories — Custody &amp; Control, Inspection &amp; Verification, Stock &amp; Movement Control, Risk &amp; Valuation, and Reporting &amp; Compliance — seeded onto the subsidiary’s six sites: Collateral Management Agreement (CMA) setup &amp; onboarding; Field Warehousing Control; Stock Inspection Visit (quantity, quality &amp; sampling); Weighbridge &amp; Tank / Silo Gauging; Stock Reconciliation &amp; Variance Report; Dual-Control Release Authorization; Collateral Valuation &amp; Coverage-Ratio Monitoring; Daily Stock-Position Reporting &amp; Lender Portal Access; Warehouse Receipt Issuance; and Facility / Site Accreditation Assessment. UGX pricing, per-service unit of measure, category and branch attribution.</w:t>
      </w:r>
    </w:p>
    <w:p>
      <w:pPr>
        <w:pStyle w:val="BodyText"/>
      </w:pPr>
      <w:r>
        <w:t>•  The subsidiary is given the same six-account starter chart (Cash and Bank, Accounts Receivable, Accounts Payable, Retained Earnings, Service Revenue, Cost of Services) and an open FY2026-Q1 period via ensureStorefrontBooks(), so its storefront orders invoice and GL-post in its own books — exactly as Update 47 did for Clearing &amp; Forwarding and Warehouse Management.</w:t>
      </w:r>
    </w:p>
    <w:p>
      <w:pPr>
        <w:pStyle w:val="BodyText"/>
      </w:pPr>
      <w:r>
        <w:t>•  The five catalogue category names and the recurring service-name tokens (collateral, custody, control, inspection, valuation, coverage, reconciliation, release, authorization, receipt, reporting, compliance, gauging, accreditation, facility, agreement, weighbridge, silo, tank, lender, portal, …) are added to the content-translation glossary for the eight fully-supported languages, so the rows render in the customer’s chosen language as far as the glossary reaches (proper nouns and the residual prose pass through, the documented limit).</w:t>
      </w:r>
    </w:p>
    <w:p>
      <w:pPr>
        <w:pStyle w:val="BodyText"/>
      </w:pPr>
      <w:r>
        <w:t>•  docx/21 gains an addendum — “Services Catalogue Seeded into the Storefront” — restating the reference catalogue’s nine categories, the physical-vs-financial comparison table, and the ten seeded services with their sites and prices. The Multi-Site Collateral Management System itself (docx/21 Sections 2–11) stays a future-phase backlog; only the priced catalogue is live.</w:t>
      </w:r>
    </w:p>
    <w:p>
      <w:pPr>
        <w:pStyle w:val="BodyText"/>
      </w:pPr>
      <w:r>
        <w:t>Verified end to end: after re-seed, GET /customer-portal/public/overview lists Morise Collateral Management Ltd with 6 sites and 10 products (group figures now 34 products across 18 categories); GET /customer-portal/catalog/products?companyId=…006 returns the ten services, priced and branch-tagged, and localised into Swahili / French on Accept-Language. No migration ran.</w:t>
      </w:r>
    </w:p>
    <w:p>
      <w:pPr>
        <w:pStyle w:val="Heading2"/>
      </w:pPr>
      <w:r>
        <w:t>Impact on this document</w:t>
      </w:r>
    </w:p>
    <w:p>
      <w:pPr>
        <w:pStyle w:val="BodyText"/>
      </w:pPr>
      <w:r>
        <w:t>Alpha — exploratory pass: browse the Collateral Management services in English, Swahili and French; place and (where the status allows) cancel an order; check the subsidiary’s books receive the posting.</w:t>
      </w:r>
    </w:p>
    <w:p>
      <w:pPr>
        <w:pStyle w:val="Heading1"/>
      </w:pPr>
      <w:r>
        <w:t>66. Implementation Status Update 61 (30 August 2026) — Managing Director — Full Operational Authority Across Every Admin Category</w:t>
      </w:r>
    </w:p>
    <w:p>
      <w:pPr>
        <w:pStyle w:val="BodyText"/>
      </w:pPr>
      <w:r>
        <w:t>The Managing Director asked to be able to operate — view, create, edit, approve and execute — on every section of the four Admin categories (ADMIN / BACKEND, HUMAN RESOURCES, MY HR and FINANCIAL &amp; ACCOUNTING), not only to hold group-wide view. The role now carries the complete permission set, and the admin screens honour it.</w:t>
      </w:r>
    </w:p>
    <w:p>
      <w:pPr>
        <w:pStyle w:val="BodyText"/>
      </w:pPr>
      <w:r>
        <w:t>What changed (seed data + front-end gating; no schema, endpoint or migration):</w:t>
      </w:r>
    </w:p>
    <w:p>
      <w:pPr>
        <w:pStyle w:val="BodyText"/>
      </w:pPr>
      <w:r>
        <w:t>•  The Managing Director role in seed.ts (ROLE_PERMISSIONS['Managing Director']) is expanded from a mostly-view set to the full permission catalogue — all 53 codes, the same breadth as Super Administrator, plus identity.user.delegate as the top grantor of the delegated-administration model. It gains the manage / approve codes it previously lacked: employee.manage, employee.view.sensitive, accounting.manage, customer.manage, supplier.manage, supplier.view.sensitive, product.manage, asset.manage, recruitment.manage, attendance.manage, leave.manage, leave.approve, performance.manage, payroll.manage, sales.order.manage, support.ticket.manage, ap.manage, expense.approve.manager and expense.approve.finance. MY HR needs no permission (it is scoped by the signed-in user's employee record).</w:t>
      </w:r>
    </w:p>
    <w:p>
      <w:pPr>
        <w:pStyle w:val="BodyText"/>
      </w:pPr>
      <w:r>
        <w:t>•  Sixteen admin pages whose in-screen “manage / approve / create” controls were gated by a hard-coded role list — Accounting, Accounts Payable, Assets, Attendance, Customers, Employees, Expenses, Inter-Company, Leave, Order Management, Performance, Product Manager, Projects, Recruitment, Suppliers and Support Tickets — now also accept the matching permission code (hasRole(…) OR hasPermission('…')). This unlocks every control for the Managing Director and, more generally, for any role or user granted that permission through delegated administration; the newer screens (CMS, Departments, Inventory, Marketing, Payroll, Shift Scheduling) already worked this way.</w:t>
      </w:r>
    </w:p>
    <w:p>
      <w:pPr>
        <w:pStyle w:val="BodyText"/>
      </w:pPr>
      <w:r>
        <w:t>•  No new permission code and no change to how the API enforces each route — the backend already checked these codes; only the seeded grants and the front-end control visibility changed.</w:t>
      </w:r>
    </w:p>
    <w:p>
      <w:pPr>
        <w:pStyle w:val="BodyText"/>
      </w:pPr>
      <w:r>
        <w:t>Verified end to end: signed in as the Managing Director, GET /identity/auth/me returns all 53 permission codes; a read in every section of all four categories returns 200 with no 403; write (manage) calls — POST /suppliers, /customers, /products, /accounting/accounts, /assets, /attendance/shifts, /recruitment/vacancies, /payroll/runs, /shift-scheduling/entries, /employees — are accepted or fail only on payload validation (VALIDATION_ERROR), never on permission. Front-end build passes; OpenAPI unchanged.</w:t>
      </w:r>
    </w:p>
    <w:p>
      <w:pPr>
        <w:pStyle w:val="Heading2"/>
      </w:pPr>
      <w:r>
        <w:t>Impact on this document</w:t>
      </w:r>
    </w:p>
    <w:p>
      <w:pPr>
        <w:pStyle w:val="BodyText"/>
      </w:pPr>
      <w:r>
        <w:t>Alpha — exploratory pass as the Managing Director across all four categories: create, edit, approve and execute in each module; confirm no “you do not have permission” message and no hidden control.</w:t>
      </w:r>
    </w:p>
    <w:p>
      <w:pPr>
        <w:pStyle w:val="Heading1"/>
      </w:pPr>
      <w:r>
        <w:t>67. Implementation Status Update 62 (31 August 2026) — Morise Brand Mark — Professional Logo Across Both Apps</w:t>
      </w:r>
    </w:p>
    <w:p>
      <w:pPr>
        <w:pStyle w:val="BodyText"/>
      </w:pPr>
      <w:r>
        <w:t>The Managing Director asked for a proper, professional Morise logo to replace the plain letter “M” placeholder that stood in for a brand mark in both the staff Admin app and the Customer Storefront.</w:t>
      </w:r>
    </w:p>
    <w:p>
      <w:pPr>
        <w:pStyle w:val="BodyText"/>
      </w:pPr>
      <w:r>
        <w:t>The mark: a geometric monoline “M” that also reads as an upward growth line and as a route between points — the group moves inputs, fuel, freight and value across sites — with an amber diamond resting on its apex, standing for the holding company as the connecting keystone of its subsidiaries. Colours are the existing brand tokens: Morise Navy #1E3A5F, Morise Amber #D97706, white. The “M” is a single continuous stroke with round caps and joins so it stays crisp from a 16px favicon upward.</w:t>
      </w:r>
    </w:p>
    <w:p>
      <w:pPr>
        <w:pStyle w:val="BodyText"/>
      </w:pPr>
      <w:r>
        <w:t>What changed (front-end assets + a shared component; no backend, schema, endpoint or migration):</w:t>
      </w:r>
    </w:p>
    <w:p>
      <w:pPr>
        <w:pStyle w:val="BodyText"/>
      </w:pPr>
      <w:r>
        <w:t>•  New brand/ folder at the repository root: morise-logo.svg (primary lockup — navy tile mark + MORISE wordmark + HOLDINGS LIMITED subtitle), morise-logomark.svg (navy app-tile), morise-logomark-light.svg (white “M”, transparent) and morise-logomark-dark.svg (navy “M”, transparent), plus brand/README.md — a one-page brand sheet (concept, colour values, clear-space, minimum sizes, do / don’t, file inventory).</w:t>
      </w:r>
    </w:p>
    <w:p>
      <w:pPr>
        <w:pStyle w:val="BodyText"/>
      </w:pPr>
      <w:r>
        <w:t>•  One shared React component, src/components/Logo.jsx, added identically to mbms/frontend and mbms/storefront. The “M” stroke uses currentColor, so a &lt;Logo/&gt; dropped into an existing badge inherits navy-on-white or white-on-navy from that badge automatically; the apex diamond is always amber. Props: size, tile (standalone navy tile) and tone (stroke override).</w:t>
      </w:r>
    </w:p>
    <w:p>
      <w:pPr>
        <w:pStyle w:val="BodyText"/>
      </w:pPr>
      <w:r>
        <w:t>•  Every “M” placeholder now renders &lt;Logo/&gt;: the Admin top bar and the Admin login card; the Storefront shop header, the corporate mini-site nav, the full-page disclaimer gate, and the four customer auth screens (sign in, register, forgot / reset password). Both index.html files gained an inline SVG data-URI favicon of the navy tile mark.</w:t>
      </w:r>
    </w:p>
    <w:p>
      <w:pPr>
        <w:pStyle w:val="BodyText"/>
      </w:pPr>
      <w:r>
        <w:t>Verified: production build of both React apps passes (vite build, 73 modules each, no new warnings); headless screenshots of the Admin login and the Storefront disclaimer gate show the new mark rendering correctly on navy and on white. No API surface change — OpenAPI unchanged.</w:t>
      </w:r>
    </w:p>
    <w:p>
      <w:pPr>
        <w:pStyle w:val="Heading2"/>
      </w:pPr>
      <w:r>
        <w:t>Impact on this document</w:t>
      </w:r>
    </w:p>
    <w:p>
      <w:pPr>
        <w:pStyle w:val="BodyText"/>
      </w:pPr>
      <w:r>
        <w:t>Alpha — visual pass: the mark renders crisply at every size used (top-bar badge through login card), on both navy and white grounds, with no clipping or mis-colour.</w:t>
      </w:r>
    </w:p>
    <w:p>
      <w:pPr>
        <w:pStyle w:val="Heading1"/>
      </w:pPr>
      <w:r>
        <w:t>68. Implementation Status Update 63 (31 August 2026) — Morise Banner Family — Professional Banner Set Across Both Apps</w:t>
      </w:r>
    </w:p>
    <w:p>
      <w:pPr>
        <w:pStyle w:val="BodyText"/>
      </w:pPr>
      <w:r>
        <w:t>Following the new Morise logo, the Managing Director asked for a full set of professional banners for Morise. A coherent banner family was designed on the same brand language (navy #1E3A5F / amber #D97706, the monoline logomark as a watermark, an amber keystone diamond, and a thin “route” line through nodes for “every input, every mile, every store”).</w:t>
      </w:r>
    </w:p>
    <w:p>
      <w:pPr>
        <w:pStyle w:val="BodyText"/>
      </w:pPr>
      <w:r>
        <w:t>What was produced — SVG assets in a new brand/banners/ folder at the repository root, plus a one-page section in brand/README.md:</w:t>
      </w:r>
    </w:p>
    <w:p>
      <w:pPr>
        <w:pStyle w:val="BodyText"/>
      </w:pPr>
      <w:r>
        <w:t>•  group-hero.svg (1600×520, text baked) and group-hero-bg.svg (texture only, for use behind live page copy); page-header-bg.svg (1600×200) for interior page heads; social-card.svg (1200×630) for Open Graph / social sharing; email-header.svg (1200×280) for newsletters; promo-strip.svg (1600×200) for the storefront promotional strip; announcement-ribbon.svg (1600×56, “Demonstration build — not for production use”); auth-side.svg (960×1200) for the sign-in screens; and one banner per subsidiary — subsidiary-agro / -logistics / -clearing-forwarding / -warehouse / -collateral (1600×420 each), same navy ground and amber diamond with a single sector-accent hue on the route line.</w:t>
      </w:r>
    </w:p>
    <w:p>
      <w:pPr>
        <w:pStyle w:val="BodyText"/>
      </w:pPr>
      <w:r>
        <w:t>•  Every SVG is standalone — no external fonts (a system sans stack in &lt;text&gt;), no external refs — so each works as a file, an &lt;img&gt;, or a CSS background.</w:t>
      </w:r>
    </w:p>
    <w:p>
      <w:pPr>
        <w:pStyle w:val="BodyText"/>
      </w:pPr>
      <w:r>
        <w:t>Wired into the apps (front-end assets + a little CSS; no backend, schema, endpoint or migration): the banner SVGs are copied into mbms/frontend/public/brand/banners/ and mbms/storefront/public/brand/banners/; the storefront hero (.sf-hero) and the corporate mini-site hero (.mc-hero) now layer group-hero-bg.svg over their existing navy→blue gradient (the gradient stays as a graceful fallback); both index.html files gained Open Graph / Twitter-card meta tags pointing at social-card.svg.</w:t>
      </w:r>
    </w:p>
    <w:p>
      <w:pPr>
        <w:pStyle w:val="BodyText"/>
      </w:pPr>
      <w:r>
        <w:t>Seed data (seed-only, idempotent guards): the storefront promotional banner rail for the demo customer’s company (Morise Agro Ltd) is now a curated set of three — “Season stock-up”, “One storefront for the whole group” and “Bulk fuel and haulage, booked online” — each rendered by the existing text-only PromoBanner model that the storefront home already consumes.</w:t>
      </w:r>
    </w:p>
    <w:p>
      <w:pPr>
        <w:pStyle w:val="BodyText"/>
      </w:pPr>
      <w:r>
        <w:t>Verified: both React apps build (vite build, no new warnings); the backend seed type-checks; the banner assets serve at /brand/banners/… on both dev servers; a headless render of group-hero.svg and a contact sheet of the full set confirm the banners are correct on navy and on white. OpenAPI unchanged.</w:t>
      </w:r>
    </w:p>
    <w:p>
      <w:pPr>
        <w:pStyle w:val="Heading2"/>
      </w:pPr>
      <w:r>
        <w:t>Impact on this document</w:t>
      </w:r>
    </w:p>
    <w:p>
      <w:pPr>
        <w:pStyle w:val="BodyText"/>
      </w:pPr>
      <w:r>
        <w:t>Alpha — visual pass over brand/banners/ (contact sheet): each banner is on-brand, text fits, the logomark/diamond/route motif is consistent, and the per-subsidiary accent hues read clearly.</w:t>
      </w:r>
    </w:p>
    <w:p>
      <w:pPr>
        <w:pStyle w:val="Heading1"/>
      </w:pPr>
      <w:r>
        <w:t>69. Implementation Status Update 64 (31 August 2026) — Brand Banners Displayed Across the Customer Storefront</w:t>
      </w:r>
    </w:p>
    <w:p>
      <w:pPr>
        <w:pStyle w:val="BodyText"/>
      </w:pPr>
      <w:r>
        <w:t>The Managing Director asked that the Morise banners actually be displayed on the customer storefront, not only exist as brand assets. The banner family from brand/banners/ is now shown on every relevant storefront surface.</w:t>
      </w:r>
    </w:p>
    <w:p>
      <w:pPr>
        <w:pStyle w:val="BodyText"/>
      </w:pPr>
      <w:r>
        <w:t>What changed (storefront front-end only; no backend, schema, endpoint, permission or migration):</w:t>
      </w:r>
    </w:p>
    <w:p>
      <w:pPr>
        <w:pStyle w:val="BodyText"/>
      </w:pPr>
      <w:r>
        <w:t>•  A small helper in mbms/storefront/src/lib/corporate.js — bannerFor(name) maps a subsidiary to its /brand/banners/subsidiary-*.svg (group hero as the fallback), plus GROUP_HERO_BANNER and PROMO_STRIP_BANNER constants.</w:t>
      </w:r>
    </w:p>
    <w:p>
      <w:pPr>
        <w:pStyle w:val="BodyText"/>
      </w:pPr>
      <w:r>
        <w:t>•  Public holding-company site: the Companies grid on the landing page (corporate/Home.jsx) and the Companies directory (corporate/Companies.jsx) now render each card's picture as that subsidiary's banner instead of an empty grey placeholder; the single portfolio-company page (corporate/CompanyDetail.jsx) shows the subsidiary banner as its photo strip.</w:t>
      </w:r>
    </w:p>
    <w:p>
      <w:pPr>
        <w:pStyle w:val="BodyText"/>
      </w:pPr>
      <w:r>
        <w:t>•  Signed-in storefront: the subsidiary directory (Subsidiaries.jsx) shows the group hero banner at the top and each subsidiary's own banner on its card; the shop (Shop.jsx) shows the “One storefront for the whole group” promo strip, and swaps it for the selected subsidiary's banner when the company filter is set.</w:t>
      </w:r>
    </w:p>
    <w:p>
      <w:pPr>
        <w:pStyle w:val="BodyText"/>
      </w:pPr>
      <w:r>
        <w:t>•  CSS: img rules for .mc-co-photo and .mc-photo-strip (object-fit cover, left-anchored) and new .sf-hero-banner / .sf-shop-banner / .sf-sub-banner classes in storefront.css and corporate.css. The earlier .sf-hero / .mc-hero background-image treatment is unchanged.</w:t>
      </w:r>
    </w:p>
    <w:p>
      <w:pPr>
        <w:pStyle w:val="BodyText"/>
      </w:pPr>
      <w:r>
        <w:t>The admin-managed text PromoBanner rail on the signed-in home was already displayed and is unchanged (three curated rows since the previous update). No API surface change — OpenAPI unchanged.</w:t>
      </w:r>
    </w:p>
    <w:p>
      <w:pPr>
        <w:pStyle w:val="BodyText"/>
      </w:pPr>
      <w:r>
        <w:t>Verified: the storefront builds (vite build, no new warnings); the admin build is unaffected; headless screenshots of the landing Companies grid, the Companies directory, the subsidiary directory and the shop show the banners rendering correctly (per-subsidiary accent hues, left-anchored crop, group hero and promo strip in place).</w:t>
      </w:r>
    </w:p>
    <w:p>
      <w:pPr>
        <w:pStyle w:val="Heading2"/>
      </w:pPr>
      <w:r>
        <w:t>Impact on this document</w:t>
      </w:r>
    </w:p>
    <w:p>
      <w:pPr>
        <w:pStyle w:val="BodyText"/>
      </w:pPr>
      <w:r>
        <w:t>Alpha — visual pass: banners load on every listed page, the left-anchored crop keeps the logo and name visible, and the per-subsidiary accent hues are correct.</w:t>
      </w:r>
    </w:p>
    <w:p>
      <w:pPr>
        <w:pStyle w:val="Heading1"/>
      </w:pPr>
      <w:r>
        <w:t>70. Implementation Status Update 65 (31 August 2026) — Delivery Management System for Morise Logistics Ltd — Specification (New Doc 22) + Phase 1 Back End</w:t>
      </w:r>
    </w:p>
    <w:p>
      <w:pPr>
        <w:pStyle w:val="BodyText"/>
      </w:pPr>
      <w:r>
        <w:t>As an administrator, the Managing Director asked for the concept of delivery to be added to the subsidiary Morise Logistics Ltd — a delivery capability that takes goods, services and invoices to customers who have placed orders through the group Customer Storefront, carrying each order from “ready for delivery” through dispatch and transit to a recorded proof of delivery. The delivery software's functional and technical scope has been captured as a new companion specification, docx/22_Delivery Management System — Feature Specification, restating the client-supplied Delivery-Software-Feature-Specification.docx in the same house format as docs 19, 20 and 21.</w:t>
      </w:r>
    </w:p>
    <w:p>
      <w:pPr>
        <w:pStyle w:val="BodyText"/>
      </w:pPr>
      <w:r>
        <w:t>The specification describes the full target platform (ten feature modules — customer delivery experience; driver / courier app; dispatch &amp; operations console; route optimisation; proof of delivery &amp; exceptions; document &amp; invoice delivery; pricing, zones &amp; fees; fleet &amp; driver management; notifications; reporting — plus architecture, roles and a roadmap). A Phase 1 back end covering the core of that workflow is already implemented in MBMS: Prisma migration 20260831120000_delivery (tables deliveries, delivery_drivers, delivery_events; status / kind / proof enums), a src/delivery/ NestJS module wired into AppModule, a staff API at /api/v1/delivery (list / create / assign driver / advance status / capture proof / fail / cancel, dispatch metrics, an eligible-orders queue, and driver CRUD) and a customer tracking read at GET /api/v1/customer-portal/orders/:id/delivery — every endpoint scope-checked and every mutation audited. Completing a goods delivery advances its order to “delivered”.</w:t>
      </w:r>
    </w:p>
    <w:p>
      <w:pPr>
        <w:pStyle w:val="BodyText"/>
      </w:pPr>
      <w:r>
        <w:t>The capability is not yet wired for use: the delivery.manage and delivery.viewAll permission codes are not in the seed permission catalogue and no role holds them, so every /api/v1/delivery call currently returns 403; there is no seed data, no “Delivery” screen in the Admin app and no tracking view in the storefront, and openapi.json has not been regenerated. Morise Logistics Ltd already exists as a live subsidiary (Jinja Branch; last-mile delivery service LOG-2003); the delivery hubs, departments and policies in doc 22 Section 8 remain proposals. The wider platform (mobile apps, route optimisation, the fee engine, telematics, notifications, driver analytics) is future scope.</w:t>
      </w:r>
    </w:p>
    <w:p>
      <w:pPr>
        <w:pStyle w:val="Heading2"/>
      </w:pPr>
      <w:r>
        <w:t>Impact on this document</w:t>
      </w:r>
    </w:p>
    <w:p>
      <w:pPr>
        <w:pStyle w:val="BodyText"/>
      </w:pPr>
      <w:r>
        <w:t>Alpha — once the permissions are seeded the back end can be exercised through Swagger / curl for an internal pass; there is no delivery UI to alpha yet.</w:t>
      </w:r>
    </w:p>
    <w:p>
      <w:pPr>
        <w:pStyle w:val="Heading1"/>
      </w:pPr>
      <w:r>
        <w:t>71. Implementation Status Update 66 (31 August 2026) — Automatic Morise-Stamped Invoice on Customer-Acknowledged Delivery (Doc 22 Addendum)</w:t>
      </w:r>
    </w:p>
    <w:p>
      <w:pPr>
        <w:pStyle w:val="BodyText"/>
      </w:pPr>
      <w:r>
        <w:t>A customer has asked that, once the delivery persona from Morise Logistics Ltd has delivered the goods or services and the customer has acknowledged receiving them in good condition, MBMS automatically issues a Morise-stamped invoice for that order — one branded document that is the definitive proof of supply and of the customer's acceptance. The concept has been added to docx/22_Delivery Management System — Feature Specification as an addendum (“Customer Acknowledgement of Delivery &amp; the Automatic Morise-Stamped Invoice”).</w:t>
      </w:r>
    </w:p>
    <w:p>
      <w:pPr>
        <w:pStyle w:val="BodyText"/>
      </w:pPr>
      <w:r>
        <w:t>Mechanism. The delivery persona completes the delivery and captures proof of delivery (delivery — “delivered”, order — “delivered”). The customer is then prompted in the storefront to confirm the outcome — received in good condition, damaged, incomplete, or not received (proposed POST /api/v1/customer-portal/orders/:id/delivery/acknowledge, customer-JWT, audited). On a “good condition” acknowledgement the order's existing invoice is moved to an issued / stamped state and a Morise-stamped invoice PDF is generated — the Morise brand mark used as a seal, plus the delivery and acknowledgement details, in the customer's language. On any other outcome no stamp is issued: a delivery exception is opened and the invoice stays provisional.</w:t>
      </w:r>
    </w:p>
    <w:p>
      <w:pPr>
        <w:pStyle w:val="BodyText"/>
      </w:pPr>
      <w:r>
        <w:t>Status — specification only. It extends the Delivery Management System (doc 22, whose Phase 1 back end is present but switched off) and the existing per-order invoice with an issued / stamped state and a branded document. Nothing is built: there is no customer acknowledgement endpoint, no invoice-stamp fields or migration, and no brand mark in the invoice PDF (today a plain table with a text footer). Recorded as a doc 22 addendum plus this status-log entry; no code, schema, endpoint, permission or migration change; OpenAPI unchanged.</w:t>
      </w:r>
    </w:p>
    <w:p>
      <w:pPr>
        <w:pStyle w:val="Heading2"/>
      </w:pPr>
      <w:r>
        <w:t>Impact on this document</w:t>
      </w:r>
    </w:p>
    <w:p>
      <w:pPr>
        <w:pStyle w:val="BodyText"/>
      </w:pPr>
      <w:r>
        <w:t>Alpha — nothing to exercise yet; it depends on the Delivery Management System back end being switched on first (permission codes seeded).</w:t>
      </w:r>
    </w:p>
    <w:p>
      <w:pPr>
        <w:pStyle w:val="Heading1"/>
      </w:pPr>
      <w:r>
        <w:t>72. Implementation Status Update 67 (31 August 2026) — Admin Assignment of a Morise Logistics Ltd Delivery Persona to an Order (Doc 22 Addendum)</w:t>
      </w:r>
    </w:p>
    <w:p>
      <w:pPr>
        <w:pStyle w:val="BodyText"/>
      </w:pPr>
      <w:r>
        <w:t>An administrator has asked to be able to assign a delivery persona (a driver / courier) from Morise Logistics Ltd to deliver the products or services on an order a customer has placed. The workflow has been recorded in docx/22_Delivery Management System — Feature Specification as an addendum (“Admin Assignment of a Morise Logistics Ltd Delivery Persona to an Order”), covering Sections 2.3 (Dispatch &amp; Operations Console) and 2.8 (Fleet &amp; Driver Management).</w:t>
      </w:r>
    </w:p>
    <w:p>
      <w:pPr>
        <w:pStyle w:val="BodyText"/>
      </w:pPr>
      <w:r>
        <w:t>A dispatcher (a user with delivery.manage) reviews the orders that can still be handed to Logistics (GET /api/v1/delivery/eligible-orders — a fulfilment-state order, not cancelled, without a delivery), creates a delivery against the chosen order (POST /api/v1/delivery, companyId = Morise Logistics Ltd, orderId — customer, origin company, drop address and delivery fee resolved from the order), and assigns a delivery persona from Morise Logistics Ltd's pool, either on create (driverId — status “assigned”) or afterwards (POST /api/v1/delivery/:id/assign with driverId, optional scheduledDate, note). Personas are delivery_drivers rows scoped to Morise Logistics Ltd (name, phone, licence, vehicle, active flag, optional Employee link) with their own CRUD and an open-delivery count; assignment is refused unless the persona is active and in the same company as the delivery. Assigning stamps assignedAt, moves a “pending” delivery to “assigned”, logs a delivery event and records a delivery.driver_assigned audit entry; a non-terminal delivery can be reassigned the same way. All of this is implemented in the Phase 1 back end.</w:t>
      </w:r>
    </w:p>
    <w:p>
      <w:pPr>
        <w:pStyle w:val="BodyText"/>
      </w:pPr>
      <w:r>
        <w:t>Not yet usable: the delivery.manage / delivery.viewAll permission codes are not in the seed permission catalogue and no role holds them, so every /api/v1/delivery call returns 403; there are no seeded Morise Logistics Ltd drivers, and there is no “Delivery” dispatch screen in the Admin app. Recorded as a doc 22 addendum plus this status-log entry; no code, schema, endpoint, permission or migration change; OpenAPI unchanged.</w:t>
      </w:r>
    </w:p>
    <w:p>
      <w:pPr>
        <w:pStyle w:val="Heading2"/>
      </w:pPr>
      <w:r>
        <w:t>Impact on this document</w:t>
      </w:r>
    </w:p>
    <w:p>
      <w:pPr>
        <w:pStyle w:val="BodyText"/>
      </w:pPr>
      <w:r>
        <w:t>Alpha — once the permission is seeded the assignment flow can be exercised through Swagger / curl; there is no dispatch screen to alpha yet.</w:t>
      </w:r>
    </w:p>
    <w:p>
      <w:pPr>
        <w:pStyle w:val="Heading1"/>
      </w:pPr>
      <w:r>
        <w:t>73. Implementation Status Update 68 (31 August 2026) — Delivery Module Activated — delivery.manage / delivery.viewAll Seeded &amp; Granted</w:t>
      </w:r>
    </w:p>
    <w:p>
      <w:pPr>
        <w:pStyle w:val="BodyText"/>
      </w:pPr>
      <w:r>
        <w:t>The Delivery Management System back end for Morise Logistics Ltd (docx/22; recorded across Updates 65—67) has been activated. Its two permission codes — delivery.manage and delivery.viewAll — have been added to the seed permission catalogue (prisma/seed.ts, domain operations) and granted to roles, so the dispatch API is now reachable and an authorised administrator can assign a delivery persona from Morise Logistics Ltd to a customer's order.</w:t>
      </w:r>
    </w:p>
    <w:p>
      <w:pPr>
        <w:pStyle w:val="BodyText"/>
      </w:pPr>
      <w:r>
        <w:t>Grants: delivery.manage + delivery.viewAll to Super Administrator, Managing Director, IT Administrator and Operations Manager; delivery.manage (own company scope) to Branch Manager; delivery.viewAll to Group CEO, Auditor, External Auditor, Board Member and Read-only User. Verified end to end against the running system: signed in as the Managing Director, GET /api/v1/delivery, /delivery/metrics, /delivery/eligible-orders and /delivery/drivers return 200 (they returned 403 before); a Morise Logistics Ltd delivery persona was created, a delivery (DEL-2026-0001) was created for a storefront order — the customer, drop address and delivery fee were resolved from the order — and the persona was assigned, moving the delivery pending → assigned, stamping assignedAt, appending a delivery event and recording a delivery.driver_assigned audit entry. The verification rows were then removed, so no delivery data is seeded.</w:t>
      </w:r>
    </w:p>
    <w:p>
      <w:pPr>
        <w:pStyle w:val="BodyText"/>
      </w:pPr>
      <w:r>
        <w:t>Seed data + grants only — no schema, endpoint, migration or application-code change; the endpoints were already built and wired (recorded in Update 65). This supersedes the “switched off / every /api/v1/delivery call returns 403” statements in Updates 65, 66 and 67 and their addenda. Still pending: seeded Morise Logistics Ltd delivery personas, an Admin “Delivery” dispatch screen (and a storefront tracking view), and an openapi.json regeneration so the endpoints appear in the published API contract.</w:t>
      </w:r>
    </w:p>
    <w:p>
      <w:pPr>
        <w:pStyle w:val="Heading2"/>
      </w:pPr>
      <w:r>
        <w:t>Impact on this document</w:t>
      </w:r>
    </w:p>
    <w:p>
      <w:pPr>
        <w:pStyle w:val="BodyText"/>
      </w:pPr>
      <w:r>
        <w:t>Alpha — the delivery API can now be exercised through Swagger / curl by a delivery.manage holder for an internal pass; there is still no dispatch screen to alpha.</w:t>
      </w:r>
    </w:p>
    <w:p>
      <w:pPr>
        <w:pStyle w:val="Heading1"/>
      </w:pPr>
      <w:r>
        <w:t>74. Implementation Status Update 69 (31 August 2026) — Customer Storefront Wording: Services Catalog / Add to Invoice / Invoice</w:t>
      </w:r>
    </w:p>
    <w:p>
      <w:pPr>
        <w:pStyle w:val="BodyText"/>
      </w:pPr>
      <w:r>
        <w:t>An administrator asked for three wording changes in the Customer Storefront: “product catalog” becomes “services catalog”, the “Add to Cart” action becomes “Add to Invoice”, and “Cart” becomes “Invoice” throughout the shopping flow.</w:t>
      </w:r>
    </w:p>
    <w:p>
      <w:pPr>
        <w:pStyle w:val="BodyText"/>
      </w:pPr>
      <w:r>
        <w:t>The change is front-end text only. It updates the storefront's string catalogue: en.js (the master key set) in full — header.cart (Cart — Invoice), common.addToCart / productDetail.added / productDetail.addFromBranch (the “Add to Cart” / “Added to Cart” forms — the “Invoice” forms), shop.heading (“Product Catalog” — “Services Catalog”), shop.loadFailed, cart.crumb (“Shop / Cart” — “Shop / Invoice”), cart.heading (“Cart &amp; Checkout” — “Invoice &amp; Checkout”), cart.emptyLead, cart.browseCatalog, landing.feat.shop.title, and the landing hero / step / disclaimer prose that mentions “product catalog” or “your cart” — plus the matching, already-translated keys in the eight other full languages (French, Spanish, Portuguese, German, Italian, Swahili, Luganda, Arabic) and the two partial ones (Runyankole, Acholi), so no supported language shows the old wording. The header basket icon changes from 🛒 to 🧾.</w:t>
      </w:r>
    </w:p>
    <w:p>
      <w:pPr>
        <w:pStyle w:val="BodyText"/>
      </w:pPr>
      <w:r>
        <w:t>No route, component, API, permission or data-model change: the URL is still /cart, the React components (CartPage, CartProvider, lib/cart.jsx), the CSS classes and the orders / invoices back end are untouched — an order still creates its Invoice at order time exactly as before. Only the customer-facing labels change, to “services catalog”, “Add to Invoice” and “Invoice”. Verified with a production vite build (73 modules, no errors).</w:t>
      </w:r>
    </w:p>
    <w:p>
      <w:pPr>
        <w:pStyle w:val="Heading2"/>
      </w:pPr>
      <w:r>
        <w:t>Impact on this document</w:t>
      </w:r>
    </w:p>
    <w:p>
      <w:pPr>
        <w:pStyle w:val="BodyText"/>
      </w:pPr>
      <w:r>
        <w:t>Alpha — visual pass: the three renames are consistent across the shop, product detail, basket and landing pages, and the header icon is a receipt (🧾).</w:t>
      </w:r>
    </w:p>
    <w:p>
      <w:pPr>
        <w:pStyle w:val="Heading1"/>
      </w:pPr>
      <w:r>
        <w:t>75. Implementation Status Update 70 (1 September 2026) — Payroll Management — Feature Specification</w:t>
      </w:r>
    </w:p>
    <w:p>
      <w:pPr>
        <w:pStyle w:val="BodyText"/>
      </w:pPr>
      <w:r>
        <w:t>An administrator asked that a Payroll Management section be recorded: the payroll system should support employees across multiple subsidiaries, with salary structures (basic salary, allowances, overtime, bonuses, commissions), deductions (loans, advances, taxes, statutory deductions, pension contributions), payroll approval, payslip generation, bank payment schedules, payroll history, and payroll reports at department, company and consolidated group level.</w:t>
      </w:r>
    </w:p>
    <w:p>
      <w:pPr>
        <w:pStyle w:val="BodyText"/>
      </w:pPr>
      <w:r>
        <w:t>Much of the core is already built (Update 41, 28 August 2026). MBMS runs a monthly PayrollRun per subsidiary (draft → approved → paid), producing a Payslip per active employee that computes Uganda PAYE and the NSSF employee / employer contributions from Employee.grossSalary, less any salary-advance instalment and a manual other-deductions figure; paying a run posts a balanced journal entry to that company's ledger and notifies each employee whose login can see their payslip. Salary advances have their own request → approve / reject → recovering → recovered lifecycle and are recovered automatically by the next run. The module is multi-subsidiary: every run is company-scoped and payroll.viewAll gives group-wide visibility; My Payslips is the employee self-service view. Of the requested list, these are live: multi-subsidiary support, basic (gross) salary, advances, taxes (PAYE), statutory deductions (NSSF), pension via NSSF, payroll approval, payslip data generation and payroll history.</w:t>
      </w:r>
    </w:p>
    <w:p>
      <w:pPr>
        <w:pStyle w:val="BodyText"/>
      </w:pPr>
      <w:r>
        <w:t>The rest is recorded as the Payroll Management backlog on top of that core, and is not built: a salary-structure model with distinct components (basic, allowances, overtime, bonuses, commissions) rather than a single gross figure; typed deductions and a long-term loan facility (with an interest / repayment schedule) distinct from the short-term advance; a voluntary / occupational pension scheme beyond NSSF; a rendered PDF payslip; bank payment schedules / an EFT payment file; and the reporting suite — payroll reports, department payroll reports (there is no department dimension on the payslip today), company payroll reports and consolidated group payroll reports (no report endpoint exists). This update adds the specification only — no code, schema, endpoint or permission change; the built Payroll module is unchanged.</w:t>
      </w:r>
    </w:p>
    <w:p>
      <w:pPr>
        <w:pStyle w:val="Heading2"/>
      </w:pPr>
      <w:r>
        <w:t>Impact on this document</w:t>
      </w:r>
    </w:p>
    <w:p>
      <w:pPr>
        <w:pStyle w:val="BodyText"/>
      </w:pPr>
      <w:r>
        <w:t>Alpha — the built runs / advances flow can be exercised now. The structure, bank-schedule and reporting features have nothing to alpha yet.</w:t>
      </w:r>
    </w:p>
    <w:p>
      <w:pPr>
        <w:pStyle w:val="Heading1"/>
      </w:pPr>
      <w:r>
        <w:t>76. Implementation Status Update 71 (1 September 2026) — Payroll: Salary Structures, Allowances, Overtime &amp; Bonuses</w:t>
      </w:r>
    </w:p>
    <w:p>
      <w:pPr>
        <w:pStyle w:val="BodyText"/>
      </w:pPr>
      <w:r>
        <w:t>Implementing the first slice of the Payroll Management backlog recorded in Update 70: salary structures, allowances, overtime and bonuses are now built. An employee's monthly pay is built up from a salary structure of components — a basic salary, one or more allowances, and one-off overtime or bonus lines — instead of a single flat gross figure.</w:t>
      </w:r>
    </w:p>
    <w:p>
      <w:pPr>
        <w:pStyle w:val="BodyText"/>
      </w:pPr>
      <w:r>
        <w:t>What changed (mbms/backend/src/payroll/ + one migration + the Payroll admin screen): a new salary_components table (type basic / allowance / overtime / bonus, label, amount, a recurring flag, and periodYear / periodMonth for a one-off line) holds each employee's structure; a payslip_components child table records the earnings breakdown captured on every payslip. A payroll run now derives each employee's gross from the sum of their applicable components (all recurring components, plus one-off components tagged for that month), falling back to Employee.grossSalary when an employee has no structure — so existing data keeps working. PAYE and NSSF are still computed on the resulting gross by the same Uganda statutory util; the GL posting on pay is unchanged. New endpoints: GET / POST /api/v1/payroll/salary-components, PATCH / DELETE /api/v1/payroll/salary-components/:id, and GET /api/v1/payroll/salary-structure/:employeeId (the assembled structure for a month with a PAYE / NSSF / net preview) — all under the existing payroll.manage / payroll.viewAll permissions, no new code. The Admin Payroll screen gains a Salary structures tab; each payslip row in a run expands to its component breakdown; My Payslips carries the same breakdown.</w:t>
      </w:r>
    </w:p>
    <w:p>
      <w:pPr>
        <w:pStyle w:val="BodyText"/>
      </w:pPr>
      <w:r>
        <w:t>Verified end to end: two demo Morise Agro Ltd employees were given a structure (basic + housing + transport allowances, plus a one-off overtime line for Grace Auma and a one-off performance bonus for Peter Kintu); a September 2026 payroll run derived their gross from the components (Grace 1,600,000 → 1,780,000 with the overtime; Kintu 2,800,000 → 3,300,000 with the bonus) and each payslip carried the four-line breakdown, while structure-less employees fell back to their flat gross unchanged; component create / update / delete work and a role without payroll.manage is refused (403). Backend nest build and the admin vite build are clean. Migration 20260901120000_salary_structures applied. The remaining Payroll Management backlog — commissions, typed deductions, a loan facility, a voluntary pension, a payslip PDF, bank payment schedules and the reporting suite — is unchanged.</w:t>
      </w:r>
    </w:p>
    <w:p>
      <w:pPr>
        <w:pStyle w:val="Heading2"/>
      </w:pPr>
      <w:r>
        <w:t>Impact on this document</w:t>
      </w:r>
    </w:p>
    <w:p>
      <w:pPr>
        <w:pStyle w:val="BodyText"/>
      </w:pPr>
      <w:r>
        <w:t>Alpha — the Salary structures tab and the payslip breakdown can be exercised in the running admin app; the demo seed carries two worked examples (Grace Auma, Peter Kintu).</w:t>
      </w:r>
    </w:p>
    <w:p>
      <w:pPr>
        <w:pStyle w:val="Heading1"/>
      </w:pPr>
      <w:r>
        <w:t>77. Implementation Status Update 72 (1 September 2026) — Accounting &amp; Finance Feature Section</w:t>
      </w:r>
    </w:p>
    <w:p>
      <w:pPr>
        <w:pStyle w:val="BodyText"/>
      </w:pPr>
      <w:r>
        <w:t>An administrator asked that a “7. Accounting and Finance” section be recorded: the financial module should be one of the core components of the system, covering General Ledger (chart of accounts, journal entries, general ledger, trial balance, financial periods, account reconciliation, recurring journals, adjusting entries, closing entries), Accounts Receivable (customer invoices, credit / debit notes, customer payments, outstanding invoices, payment reminders, customer statements, aging reports, receivable reconciliation), Accounts Payable (supplier / purchase invoices, supplier payments, credit notes, supplier statements, outstanding bills, aging reports, payment schedules, approval workflows) and Financial Statements (Profit and Loss, Balance Sheet, Cash Flow Statement, Trial Balance, General Ledger, Statement of Changes in Equity, Budget versus actual, Financial ratios, Management accounts).</w:t>
      </w:r>
    </w:p>
    <w:p>
      <w:pPr>
        <w:pStyle w:val="BodyText"/>
      </w:pPr>
      <w:r>
        <w:t>This module is already one of the built core components of MBMS — the Sprint 10 “Full Accounting” slice and the 19 August 2026 Financial Module Deepening. Against the requested list, all four areas are substantially built. General Ledger: the Account chart (type / sub-type), JournalEntry / JournalEntryItem with a draft → posted lifecycle and a standard / adjusting / closing entry type, FinancialPeriod with an open → closed lifecycle (a close posts the closing entries), RecurringJournalEntry with a generate action, AccountReconciliation, and reports for the general ledger and trial balance. Accounts Receivable: Invoice, CustomerCreditNote / CustomerDebitNote, Payment / PaymentAllocation, and /ar endpoints for aging, outstanding invoices, a customer statement (with PDF) and a payment reminder. Accounts Payable: SupplierInvoice / SupplierInvoiceItem with a draft → pending_approval → approved → paid workflow (submit-for-approval / approve under ap.approve), SupplierPayment / SupplierPaymentApplication, SupplierCreditNote, and /ap endpoints for aging, a supplier statement and a payment schedule. Financial Statements: /accounting/reports/ for income-statement (Profit and Loss), balance-sheet, cash-flow-statement, trial-balance, general-ledger, statement-of-changes-in-equity, budget-vs-actual (with the Budget model), financial-ratios and management-accounts. All gated by accounting.manage / accounting.viewAll (AR reuses these) and ap.manage / ap.approve / ap.viewAll; the finance/overview endpoint and the FINANCIAL &amp; ACCOUNTING admin category tie them together.</w:t>
      </w:r>
    </w:p>
    <w:p>
      <w:pPr>
        <w:pStyle w:val="BodyText"/>
      </w:pPr>
      <w:r>
        <w:t>Gaps against the requested list: a dedicated Accounts Receivable sub-ledger reconciliation (open customer invoices vs. the GL AR control account) — the generic account reconciliation can be pointed at the AR control account, but there is no purpose-built AR reconciliation view; and “purchase invoices” and “supplier invoices” are the same entity here (SupplierInvoice). This update adds the specification / status record only — no code, schema, endpoint or permission change; the built financial module is unchanged.</w:t>
      </w:r>
    </w:p>
    <w:p>
      <w:pPr>
        <w:pStyle w:val="Heading2"/>
      </w:pPr>
      <w:r>
        <w:t>Impact on this document</w:t>
      </w:r>
    </w:p>
    <w:p>
      <w:pPr>
        <w:pStyle w:val="BodyText"/>
      </w:pPr>
      <w:r>
        <w:t>Alpha — the financial module is exercisable in the running admin app (FINANCIAL &amp; ACCOUNTING category: Financial &amp; Accounting overview, General Ledger &amp; Journals, Accounts Payable, Expenses, Assets, Projects, Reports, Suppliers, Inter-Company).</w:t>
      </w:r>
    </w:p>
    <w:p>
      <w:pPr>
        <w:pStyle w:val="Heading1"/>
      </w:pPr>
      <w:r>
        <w:t>78. Implementation Status Update 73 (1 September 2026) — Cash &amp; Bank Management Feature Section</w:t>
      </w:r>
    </w:p>
    <w:p>
      <w:pPr>
        <w:pStyle w:val="BodyText"/>
      </w:pPr>
      <w:r>
        <w:t>An administrator asked that a “Cash and Bank Management” section be recorded, covering bank account management, cash accounts, petty cash, bank deposits, bank withdrawals, transfers, bank reconciliation, cash reconciliation, payment vouchers, receipt vouchers, cash-flow forecasting and cash position reports.</w:t>
      </w:r>
    </w:p>
    <w:p>
      <w:pPr>
        <w:pStyle w:val="BodyText"/>
      </w:pPr>
      <w:r>
        <w:t>There is no dedicated Cash &amp; Bank module in MBMS yet, but several of these features are already reachable through the built General Ledger. Bank and cash accounts are General Ledger Account rows carrying an accountSubType of bank or cash, created and edited through /accounting/accounts; a bank deposit, a bank withdrawal or a bank → cash / bank → bank transfer is recorded today as a manual balanced journal entry against those accounts. Bank reconciliation and cash reconciliation are fully built — the AccountReconciliation model and /accounting/reconciliations (+ /:id/reconcile) reconcile any account's ledger balance to an external statement balance as of a date, with a variance and an open → reconciled lifecycle; pointing it at a bank or cash account is exactly bank / cash reconciliation. A group-wide cash position (cash and bank balances per company) is already exposed by the dashboard financials and the /finance/overview endpoint.</w:t>
      </w:r>
    </w:p>
    <w:p>
      <w:pPr>
        <w:pStyle w:val="BodyText"/>
      </w:pPr>
      <w:r>
        <w:t>Net-new on the backlog: a purpose-built bank / cash account register (bank name, account number, currency, branch, opening balance) rather than a bare GL account; a petty cash float / imprest with top-ups and expense drawdowns; one-step deposit, withdrawal and transfer actions that post the journal entry for you; payment vouchers and receipt vouchers as printable, approved documents; cash-flow forecasting (a forward projection from open receivables / payables and scheduled items, distinct from the historical cash-flow statement); and a dedicated cash position report by account and date. This update adds the specification / status record only — no code, schema, endpoint or permission change; the built ledger and reconciliation are unchanged.</w:t>
      </w:r>
    </w:p>
    <w:p>
      <w:pPr>
        <w:pStyle w:val="Heading2"/>
      </w:pPr>
      <w:r>
        <w:t>Impact on this document</w:t>
      </w:r>
    </w:p>
    <w:p>
      <w:pPr>
        <w:pStyle w:val="BodyText"/>
      </w:pPr>
      <w:r>
        <w:t>Alpha — bank / cash reconciliation and the cash-position figures can be exercised in the running app; the treasury features have nothing to alpha yet.</w:t>
      </w:r>
    </w:p>
    <w:p>
      <w:pPr>
        <w:pStyle w:val="Heading1"/>
      </w:pPr>
      <w:r>
        <w:t>79. Implementation Status Update 74 (1 September 2026) — Budget Management Feature Section</w:t>
      </w:r>
    </w:p>
    <w:p>
      <w:pPr>
        <w:pStyle w:val="BodyText"/>
      </w:pPr>
      <w:r>
        <w:t>An administrator asked that a “Budget Management” section be recorded, covering annual budgets, department budgets, project budgets, company budgets, group budgets, capital expenditure budgets, operating expenditure budgets, budget approval, budget revisions, budget versus actual, budget utilization, budget alerts and variance analysis.</w:t>
      </w:r>
    </w:p>
    <w:p>
      <w:pPr>
        <w:pStyle w:val="BodyText"/>
      </w:pPr>
      <w:r>
        <w:t>A budgeting capability is already built in the General Ledger. A Budget is one budgeted amount per Account per FinancialPeriod, set through /accounting/budgets (an upsert; every change is audited with the previous and new amount, giving a revision trail); GET /accounting/reports/budget-vs-actual lists every budgeted account for a period with its actual posted activity, the variance and the variance percentage, and that block also rides inside /accounting/reports/management-accounts. So company budgets, budget versus actual and a derived %-utilization (actual / budgeted) are live per subsidiary. Project budgets are also built — Project.budget with a budget-vs-actual-cost variance on the project summary.</w:t>
      </w:r>
    </w:p>
    <w:p>
      <w:pPr>
        <w:pStyle w:val="BodyText"/>
      </w:pPr>
      <w:r>
        <w:t>Net-new on the backlog: an annual (fiscal-year) budget as a first-class concept distinct from the per-period figure; a department dimension on the budget; a group budget that rolls up across the subsidiaries; an explicit capital-expenditure / operating-expenditure classification; a budget approval workflow (draft → approved) and versioned budget revisions (original vs revised, not just an audit trail); a dedicated budget-utilization report; budget alerts when spend crosses a threshold (this codebase has no configurable alert-rule engine yet); and a deeper variance analysis (favourable / unfavourable classification, drill-down and commentary) beyond the budget-vs-actual figure. This update adds the specification / status record only — no code, schema, endpoint or permission change; the built Budget model and budget-vs-actual report are unchanged.</w:t>
      </w:r>
    </w:p>
    <w:p>
      <w:pPr>
        <w:pStyle w:val="Heading2"/>
      </w:pPr>
      <w:r>
        <w:t>Impact on this document</w:t>
      </w:r>
    </w:p>
    <w:p>
      <w:pPr>
        <w:pStyle w:val="BodyText"/>
      </w:pPr>
      <w:r>
        <w:t>Alpha — budget-vs-actual and project budgets can be exercised in the running admin app (Reports and Projects); the workflow, dimensions and alerts have nothing to alpha yet.</w:t>
      </w:r>
    </w:p>
    <w:p>
      <w:pPr>
        <w:pStyle w:val="Heading1"/>
      </w:pPr>
      <w:r>
        <w:t>80. Implementation Status Update 75 (1 September 2026) — Sales Management Feature Section</w:t>
      </w:r>
    </w:p>
    <w:p>
      <w:pPr>
        <w:pStyle w:val="BodyText"/>
      </w:pPr>
      <w:r>
        <w:t>An administrator asked that a “Sales Management” section be recorded, covering Customer Management (customer registration, profiles, contacts, categories, credit limits, payment terms, history, statements), Sales (quotations, sales orders, delivery notes, invoices, receipts, credit notes, sales returns, discounts, promotions, sales commissions, sales targets, sales performance) and CRM (leads, opportunities, follow-ups, customer interactions, calls, emails, meetings, sales pipeline, customer complaints, customer feedback).</w:t>
      </w:r>
    </w:p>
    <w:p>
      <w:pPr>
        <w:pStyle w:val="BodyText"/>
      </w:pPr>
      <w:r>
        <w:t>Customer Management and the core of Sales are already built. The Customer model carries name, category, contact email / phone, address, credit limit, payment-terms days and status; customers are registered by staff (POST /customers) or self-register in the storefront (with a Google-linked option), edited via PATCH /customers/:id, filtered by category, and each has a statement (GET /customers/:id/statement, plus /ar/statement and the storefront statement + PDF) and an order / invoice / payment history. On the Sales side: Order with a placed → confirmed → packed → out_for_delivery → delivered status machine (/sales/orders, sales.order.manage); an Invoice per order; CustomerCreditNote (/ar/credit-notes); admin-managed discount codes and promotional banners consumed by the storefront; and the Delivery module tracks the physical delivery with proof of delivery. Support tickets (SupportTicket, open → resolved, with categories and priority) are the customer-complaint and feedback channel today.</w:t>
      </w:r>
    </w:p>
    <w:p>
      <w:pPr>
        <w:pStyle w:val="BodyText"/>
      </w:pPr>
      <w:r>
        <w:t>Net-new on the backlog: quotations; a printed delivery note and a printed receipt document; a sales-return / RMA model (a return is only a credit note today); sales commissions (also a Payroll backlog item), sales targets and a sales-performance dashboard (the “Sales Performance” tile is deliberately deferred); a multi-contact list per customer and a credit-limit check enforced at order time (the limit is stored but not enforced); and the whole CRM — leads, opportunities, follow-ups, an activity / interaction log for calls, emails and meetings, a sales pipeline, and structured customer feedback — none of which exists as a module. This update adds the specification / status record only — no code, schema, endpoint or permission change.</w:t>
      </w:r>
    </w:p>
    <w:p>
      <w:pPr>
        <w:pStyle w:val="Heading2"/>
      </w:pPr>
      <w:r>
        <w:t>Impact on this document</w:t>
      </w:r>
    </w:p>
    <w:p>
      <w:pPr>
        <w:pStyle w:val="BodyText"/>
      </w:pPr>
      <w:r>
        <w:t>Alpha — the customer list, order management, marketing discounts / promos and support tickets can be exercised in the running admin app; quotations, returns, commissions, targets and CRM have nothing to alpha yet.</w:t>
      </w:r>
    </w:p>
    <w:p>
      <w:pPr>
        <w:pStyle w:val="Heading1"/>
      </w:pPr>
      <w:r>
        <w:t>81. Implementation Status Update 76 (1 September 2026) — Procurement &amp; Purchasing Feature Section</w:t>
      </w:r>
    </w:p>
    <w:p>
      <w:pPr>
        <w:pStyle w:val="BodyText"/>
      </w:pPr>
      <w:r>
        <w:t>An administrator asked that a “Procurement and Purchasing” section be recorded, covering purchase requisitions, purchase orders, supplier quotations, requests for quotations, supplier comparison, purchase approvals, goods received notes, supplier invoices, purchase returns, procurement budgets and procurement reports, together with the end-to-end procurement workflow: Employee / Department Request → Department Approval → Procurement → Supplier Quotations → Evaluation → Management Approval → Purchase Order → Delivery → Inspection → Invoice → Payment.</w:t>
      </w:r>
    </w:p>
    <w:p>
      <w:pPr>
        <w:pStyle w:val="BodyText"/>
      </w:pPr>
      <w:r>
        <w:t>There is no dedicated Procurement module in MBMS — it has been a deliberately deferred Phase-2 area since the discovery pass — but the tail of the workflow and the supplier master are built. Suppliers are a first-class record (Supplier, /suppliers CRUD with blacklist / unblacklist and a sensitive-fields grant). On the payables side, a SupplierInvoice moves draft → pending_approval → approved → paid via /ap/invoices/:id/submit-for-approval and /approve (ap.approve, and approving it posts the balanced journal entry), plus supplier payments, supplier credit notes, an AP aging report, a supplier statement and a payment schedule. So supplier invoices are fully built, invoice approval is built, a purchase return is recorded today as a supplier credit note, and a procurement budget is a Budget line on the relevant expense or asset account with budget-vs-actual. The end-to-end procurement workflow is already documented in 05_Business Process Document (Section 6.5); only its Invoice → Payment tail is implemented.</w:t>
      </w:r>
    </w:p>
    <w:p>
      <w:pPr>
        <w:pStyle w:val="BodyText"/>
      </w:pPr>
      <w:r>
        <w:t>Net-new on the backlog: a Purchase Requisition with a department-approval step; a Request for Quotation sent to multiple suppliers; Supplier Quotations with a side-by-side comparison and an evaluation / award step; a Purchase Order with a management-approval chain; a Goods Received Note and an inspection step at delivery (no inbound-goods or inventory model exists); a Purchase Return / debit-note flow distinct from a supplier credit note; a three-way match (PO → GRN → invoice); and procurement-specific budgets and reports (spend by supplier / category, PO and requisition status, commitment vs. actual). This update adds the specification / status record only — no code, schema, endpoint or permission change; the supplier master and Accounts Payable are unchanged.</w:t>
      </w:r>
    </w:p>
    <w:p>
      <w:pPr>
        <w:pStyle w:val="Heading2"/>
      </w:pPr>
      <w:r>
        <w:t>Impact on this document</w:t>
      </w:r>
    </w:p>
    <w:p>
      <w:pPr>
        <w:pStyle w:val="BodyText"/>
      </w:pPr>
      <w:r>
        <w:t>Alpha — suppliers and Accounts Payable (invoices, approvals, payments, credit notes, aging, statements) can be exercised in the running admin app; requisitions, POs, RFQs, quotations and GRNs have nothing to alpha yet.</w:t>
      </w:r>
    </w:p>
    <w:p>
      <w:pPr>
        <w:pStyle w:val="Heading1"/>
      </w:pPr>
      <w:r>
        <w:t>82. Implementation Status Update 77 (1 September 2026) — Supplier Management Feature Section</w:t>
      </w:r>
    </w:p>
    <w:p>
      <w:pPr>
        <w:pStyle w:val="BodyText"/>
      </w:pPr>
      <w:r>
        <w:t>An administrator asked that a “Supplier Management” section be recorded, covering supplier registration, supplier profiles, supplier categories, supplier contacts, supplier contracts, supplier documents, tax information, bank details, supplier evaluation, supplier performance, supplier payment history, supplier statements and supplier blacklist / suspension.</w:t>
      </w:r>
    </w:p>
    <w:p>
      <w:pPr>
        <w:pStyle w:val="BodyText"/>
      </w:pPr>
      <w:r>
        <w:t>The supplier master is already built. A Supplier is a first-class record (name, category, contact email / phone, address, tax id, a contract reference and expiry date, bank name and bank account number, and a status of active / inactive / blacklisted), registered via POST /suppliers (supplier.manage, audited), edited via PATCH /suppliers/:id, listed and filtered by category, and blacklisted / un-blacklisted through POST /suppliers/:id/blacklist and /unblacklist. Tax information and bank details are held on the record, with the bank account number masked unless the caller holds supplier.view.sensitive. Supplier payment history and supplier statements are built on the payables side — GET /api/v1/ap/statement returns a chronological invoice / payment / credit-note ledger with a running balance for a given supplier. So of the requested list, registration, profiles, categories, tax information, bank details, payment history, statements and blacklist are live.</w:t>
      </w:r>
    </w:p>
    <w:p>
      <w:pPr>
        <w:pStyle w:val="BodyText"/>
      </w:pPr>
      <w:r>
        <w:t>Gaps against the requested list: a multi-contact list per supplier (only one email / phone today); supplier contracts and supplier documents as uploaded, versioned files with a lifecycle (today only a text contract reference and expiry date — the same deferred object-storage gap this project has carried for company logos and employee documents); a dedicated time-bound suspension distinct from blacklist and the inactive status; and supplier evaluation and supplier performance — a scorecard for on-time delivery, quality and price, and a rating history — neither of which is modelled. This update adds the specification / status record only — no code, schema, endpoint or permission change; the supplier master is unchanged.</w:t>
      </w:r>
    </w:p>
    <w:p>
      <w:pPr>
        <w:pStyle w:val="Heading2"/>
      </w:pPr>
      <w:r>
        <w:t>Impact on this document</w:t>
      </w:r>
    </w:p>
    <w:p>
      <w:pPr>
        <w:pStyle w:val="BodyText"/>
      </w:pPr>
      <w:r>
        <w:t>Alpha — the Suppliers screen (list, create, edit, blacklist) and the AP supplier statement can be exercised in the running admin app; contacts, documents, suspension and evaluation have nothing to alpha yet.</w:t>
      </w:r>
    </w:p>
    <w:p>
      <w:pPr>
        <w:pStyle w:val="Heading1"/>
      </w:pPr>
      <w:r>
        <w:t>83. Implementation Status Update 78 (1 September 2026) — Supplier Management: Contacts, Suspension &amp; Evaluation</w:t>
      </w:r>
    </w:p>
    <w:p>
      <w:pPr>
        <w:pStyle w:val="BodyText"/>
      </w:pPr>
      <w:r>
        <w:t>An administrator asked to implement the Supplier Management backlog recorded in the previous update — specifically a multi-contact list per supplier, a time-bound suspension distinct from blacklist, and supplier evaluation and performance. This has now shipped as code.</w:t>
      </w:r>
    </w:p>
    <w:p>
      <w:pPr>
        <w:pStyle w:val="BodyText"/>
      </w:pPr>
      <w:r>
        <w:t>Schema and migration 20260901130000_supplier_management add two tables and extend the supplier record. supplier_contacts holds several named people per supplier (name, title, email, phone, an is_primary flag and a free-text note); the service keeps at most one primary contact, demoting any previous primary when a new one is set. supplier_evaluations is a periodic scorecard: a period label, five criterion scores from 1 to 5 (on-time delivery, goods / service quality, price competitiveness, communication / responsiveness and documentation / terms compliance), an overall score that is their average, optional comments and the evaluating user. The SupplierStatus enum gains a suspended value, and suppliers gains suspension_reason and suspended_until columns.</w:t>
      </w:r>
    </w:p>
    <w:p>
      <w:pPr>
        <w:pStyle w:val="BodyText"/>
      </w:pPr>
      <w:r>
        <w:t>New endpoints sit under the existing supplier.manage / supplier.viewAll permissions (supplier.view.sensitive still governs unmasked bank / tax fields — no new permission was added). GET / POST /api/v1/suppliers/:id/contacts and PATCH / DELETE /api/v1/suppliers/:id/contacts/:contactId manage the contact list. POST /api/v1/suppliers/:id/suspend takes a reason and an optional auto-lift date and sets the status to suspended; POST /api/v1/suppliers/:id/unsuspend clears it. It refuses to suspend a blacklisted supplier (409) - un-blacklist first - and a suspension whose suspended_until date has passed lifts itself automatically the next time the record is read. GET / POST /api/v1/suppliers/:id/evaluations and DELETE /api/v1/suppliers/:id/evaluations/:evaluationId manage scorecards. GET /api/v1/suppliers/:id/performance returns a derived summary: evaluation count, overall average, a rating band (Excellent / Good / Fair / Poor), a trend against the previous scorecard (improving / declining / flat), per-criterion averages, and accounts-payable figures for the supplier (invoice count, paid and overdue counts, total invoiced, total paid and outstanding). There is no performance table - it is computed on request from the evaluations plus the supplier's AP invoice history.</w:t>
      </w:r>
    </w:p>
    <w:p>
      <w:pPr>
        <w:pStyle w:val="BodyText"/>
      </w:pPr>
      <w:r>
        <w:t>Every mutation is audited (supplier.contact.created / updated / deleted, supplier.evaluation.created / deleted, and supplier.record.updated for suspend / unsuspend), with bank and tax values kept out of event payloads as before. All routes are company-scoped exactly like the existing GET /suppliers/:id. The admin Suppliers screen now opens a supplier detail dialog from the supplier name with Contacts, Evaluations and Performance tabs and a Suspend / Lift-suspension control; add-contact, new-evaluation (1-5 sliders with a live overall) and suspend (reason + auto-lift date) dialogs are included, and the list shows a suspended badge with the lift date. Seed data adds three contacts and two quarterly scorecards (Q1 and Q2 2026) for AgroChem Uganda Ltd so the screen and the performance summary are populated on a fresh database.</w:t>
      </w:r>
    </w:p>
    <w:p>
      <w:pPr>
        <w:pStyle w:val="BodyText"/>
      </w:pPr>
      <w:r>
        <w:t>Still on the backlog: supplier contracts and supplier documents as uploaded, versioned files — the same deferred object-storage gap this project carries for company logos and employee documents. Verified end to end: seeded contacts and evaluations read back; adding a primary contact demotes the previous one; suspend then unsuspend; a new scorecard moves the performance average and trend; suspend on a blacklisted supplier returns 409; a caller without supplier.manage gets 403 on every mutation. nest build and the admin vite build are clean.</w:t>
      </w:r>
    </w:p>
    <w:p>
      <w:pPr>
        <w:pStyle w:val="Heading2"/>
      </w:pPr>
      <w:r>
        <w:t>Impact on this document</w:t>
      </w:r>
    </w:p>
    <w:p>
      <w:pPr>
        <w:pStyle w:val="BodyText"/>
      </w:pPr>
      <w:r>
        <w:t>Alpha — exercisable in the running admin app: open a supplier from its name, add / remove contacts, add and delete evaluations, view the performance tab, suspend and lift a suspension. Seeded AgroChem Uganda Ltd has contacts and two scorecards to start from.</w:t>
      </w:r>
    </w:p>
    <w:p>
      <w:pPr>
        <w:pStyle w:val="Heading1"/>
      </w:pPr>
      <w:r>
        <w:t>84. Implementation Status Update 79 (1 September 2026) — Inventory Management: Warehouses, Transfers, Batch / Serial Tracking &amp; Reports</w:t>
      </w:r>
    </w:p>
    <w:p>
      <w:pPr>
        <w:pStyle w:val="BodyText"/>
      </w:pPr>
      <w:r>
        <w:t>An administrator asked to add and implement an “Inventory Management” section covering product registration, categories, codes, barcodes and units of measure; stock locations and warehouses; stock receipts, issues, transfers, adjustments, returns and counts; stock valuation; re-order / minimum / maximum stock levels; expiry-date, batch and serial-number tracking; and inventory reports (stock balance, stock movement, fast- / slow-moving, dead stock, valuation, shortage, surplus). Product registration / categories / codes / barcodes / units of measure were already built in the Product service, and a company-level Inventory section (stock-on-hand, a re-order point, receipt / issue / count adjustments and an immutable movement ledger) shipped on 28 August 2026. This pass builds the rest.</w:t>
      </w:r>
    </w:p>
    <w:p>
      <w:pPr>
        <w:pStyle w:val="BodyText"/>
      </w:pPr>
      <w:r>
        <w:t>Migration 20260901140000_inventory_management adds warehouses (one company may have several stock sites; each has a code, a name, an optional Branch link and an active flag, with exactly one marked the default), stock_locations (bins / aisles / racks within a warehouse, descriptive in this phase), stock_balances (on-hand of one product in one warehouse; the sum over a product’s rows equals Product.stockQuantity, the company roll-up the storefront and Orders still read), stock_batches (a batch number and an optional expiry date per batch-tracked product) and stock_serials (one row per serial-numbered unit, status in_stock / issued / returned / scrapped). Product gains min_stock_level, max_stock_level, track_batches and track_serials; StockMovement gains warehouse_id, counterparty_warehouse_id and batch_number; the StockMovementType enum gains adjustment, transfer_out, transfer_in and return. The MAIN-warehouse creation and the balance backfill from the existing roll-up run in prisma/seed.ts (and lazily in the service), keeping the migration DDL-only per this project’s convention.</w:t>
      </w:r>
    </w:p>
    <w:p>
      <w:pPr>
        <w:pStyle w:val="BodyText"/>
      </w:pPr>
      <w:r>
        <w:t>New endpoints sit under /api/v1/inventory, reads scoped per BR-01 like the product list and writes gated by product.manage — the same permission the existing section uses, so no new permission was added. Warehouses: GET / POST /inventory/warehouses, PATCH /inventory/warehouses/:id, GET / POST /inventory/warehouses/:id/locations, PATCH /inventory/locations/:locationId. Stock moves: POST /inventory/adjustments now takes an optional warehouseId (defaulting to MAIN) plus an optional batch number / expiry date on a receipt and an optional serial-number list on a receipt or issue; POST /inventory/transfers moves quantity between two warehouses of the same company as a paired transfer_out / transfer_in (the roll-up is unchanged); POST /inventory/returns books goods back into a warehouse. GET /inventory/balances lists a product’s per-warehouse rows; PUT /inventory/products/:id/stock-levels sets the re-order point, minimum and maximum together with the batch / serial flags (the older /reorder-point route is kept). GET /inventory/batches and GET /inventory/serials list the tracking rows.</w:t>
      </w:r>
    </w:p>
    <w:p>
      <w:pPr>
        <w:pStyle w:val="BodyText"/>
      </w:pPr>
      <w:r>
        <w:t>Eight reports are exposed at GET /inventory/reports/*: stock-balance (per product, with a per-warehouse breakdown), stock-movement (a date-ranged ledger), movement-analysis (fast-moving, slow-moving and dead-stock buckets from issue volume over a window), valuation (quantity × unit price, per warehouse and total), shortage (on-hand below the minimum, or below the re-order point where no minimum is set), surplus (on-hand above the maximum) and expiring (batches already expired or within N days of expiry). Every mutation is audited (inventory.warehouse.*, inventory.location.*, inventory.stock.adjusted / transferred / returned, inventory.stock_levels.updated). The admin Inventory screen gains Warehouses and Reports tabs, a warehouse filter and min / max columns on the stock list, Transfer / Return / Levels actions per row, a warehouse selector plus batch and serial fields on the adjust dialog, and a date range on the movement ledger. Seed data adds a MAIN warehouse for every company that holds stock, a second Agro warehouse (Kira Dispatch Store) with two locations, minimum / maximum levels on five products, a batch-tracked herbicide with two batches (one near expiry), a serial-tracked pallet with three units, and a demo MAIN → Kira transfer.</w:t>
      </w:r>
    </w:p>
    <w:p>
      <w:pPr>
        <w:pStyle w:val="BodyText"/>
      </w:pPr>
      <w:r>
        <w:t>Every requested feature now maps to something running: product registration / categories / codes / barcodes / units of measure (Product service), stock locations and warehouses, receipts / issues / transfers / adjustments / returns / counts, stock valuation, re-order / minimum / maximum levels, expiry-date / batch / serial tracking, and all eight named reports. Verified end to end: warehouses created per company; a transfer leaves the roll-up unchanged while both warehouse balances move; over-issue and over-transfer return 409; the shortage / surplus / expiring reports pick up the seeded thresholds and batches; a serial receipt then issue flips the unit status; a caller without product.manage gets 403 on every write. nest build, admin vite build and the OpenAPI regeneration are clean.</w:t>
      </w:r>
    </w:p>
    <w:p>
      <w:pPr>
        <w:pStyle w:val="Heading2"/>
      </w:pPr>
      <w:r>
        <w:t>Impact on this document</w:t>
      </w:r>
    </w:p>
    <w:p>
      <w:pPr>
        <w:pStyle w:val="BodyText"/>
      </w:pPr>
      <w:r>
        <w:t>Alpha — exercisable in the running admin app: the Inventory screen’s new Warehouses and Reports tabs, the warehouse filter, the Transfer / Return / Levels row actions, and the batch / serial fields on the adjust dialog. Seeded Agro data (a second warehouse, batches, serials, a transfer) is there to start from.</w:t>
      </w:r>
    </w:p>
    <w:p>
      <w:pPr>
        <w:pStyle w:val="Heading1"/>
      </w:pPr>
      <w:r>
        <w:t>85. Implementation Status Update 80 (1 September 2026) — Warehouse Management: Staff, Receiving, Picking / Packing / Dispatch &amp; Count Reconciliation</w:t>
      </w:r>
    </w:p>
    <w:p>
      <w:pPr>
        <w:pStyle w:val="BodyText"/>
      </w:pPr>
      <w:r>
        <w:t>An administrator asked to add and implement a “Warehouse Management” section covering multiple warehouses, warehouse locations, bin management, receiving, picking, packing, dispatch, stock transfers, warehouse staff management, warehouse stock counts, barcode scanning and inventory reconciliation. Multiple warehouses, warehouse locations and stock transfers were built earlier the same day in the Inventory Management pass; this pass adds the warehouse operations layer on top.</w:t>
      </w:r>
    </w:p>
    <w:p>
      <w:pPr>
        <w:pStyle w:val="BodyText"/>
      </w:pPr>
      <w:r>
        <w:t>Migration 20260901150000_warehouse_management adds warehouse_staff (an Employee assigned to a warehouse with a role of manager / supervisor / receiver / picker / packer / dispatcher), goods_receipts + goods_receipt_lines (an inbound receiving document: draft → received → cancelled; each line names a product, a quantity and an optional batch / expiry / bin), pick_lists + pick_list_lines (a fulfilment job: pending → picking → picked → packed → dispatched, optionally tied to a sales Order whose items become the lines) and stock_counts + stock_count_lines (a physical count session: open → counting → reconciled, each line snapshotting the system quantity, recording the counted quantity and the variance). Stock locations gain a functional kind (receiving / storage / picking / packing / dispatch / quarantine), so a bin has a role in the flow. All of it reuses product.manage / product.viewAll — no new permission — and the seeded Warehouse Manager role now holds product.manage so that persona can run the floor.</w:t>
      </w:r>
    </w:p>
    <w:p>
      <w:pPr>
        <w:pStyle w:val="BodyText"/>
      </w:pPr>
      <w:r>
        <w:t>New endpoints under /api/v1/inventory (reads scoped per BR-01, writes gated by product.manage): GET / POST /inventory/warehouses/:id/staff and PATCH / DELETE /inventory/warehouse-staff/:id manage staff. GET / POST /inventory/goods-receipts, GET /inventory/goods-receipts/:id, POST .../:id/receive (books a receipt stock movement per line, updating the warehouse balance, the company roll-up and any batch), POST .../:id/cancel. GET / POST /inventory/pick-lists, GET /inventory/pick-lists/:id, POST .../:id/assign, POST .../:id/pick (issues the picked quantity from the warehouse, with a 409 if stock is short), POST .../:id/pack, POST .../:id/dispatch (which also nudges a linked order to packed / out_for_delivery), POST .../:id/cancel (returning already-picked stock). GET / POST /inventory/stock-counts, GET /inventory/stock-counts/:id, POST .../:id/lines, PATCH .../:id/lines/:lineId (record a counted quantity), POST .../:id/reconcile (posts a count adjustment for every line whose count differs from the system figure and writes the variance), POST .../:id/cancel. GET /inventory/lookup?barcode= returns the matching product and its per-warehouse balances, and a goods-receipt / pick-list / stock-count line may be entered by barcode instead of product id.</w:t>
      </w:r>
    </w:p>
    <w:p>
      <w:pPr>
        <w:pStyle w:val="BodyText"/>
      </w:pPr>
      <w:r>
        <w:t>Every mutation is audited (inventory.warehouse_staff.*, inventory.goods_receipt.created / received / cancelled, inventory.pick_list.created / assigned / picked / packed / dispatched / cancelled, inventory.stock_count.created / reconciled / cancelled) and every stock effect goes through the same per-warehouse balance / roll-up / movement path the Inventory Management pass built, so on-hand stays explainable. The admin Inventory screen gains a Warehouse ops tab with Staff, Goods receipts, Pick lists and Stock counts sub-views, and the Warehouses tab’s location panel now shows and sets a bin’s kind. Seed data adds a Warehouse Manager login (William Opio, w.opio@morise-holdings.com), warehouse staff for Morise Agro Ltd’s MAIN warehouse (a manager, a picker / packer and a receiver), five functional bins (receiving / storage / packing / dispatch / quarantine), a draft goods receipt against AgroChem Uganda Ltd, a pending pick list built from a confirmed storefront order, and an open cycle-count session.</w:t>
      </w:r>
    </w:p>
    <w:p>
      <w:pPr>
        <w:pStyle w:val="BodyText"/>
      </w:pPr>
      <w:r>
        <w:t>Every requested feature now maps to something running: multiple warehouses, warehouse locations and stock transfers (Inventory Management pass), bin management (functional bins), receiving (goods receipts), picking / packing / dispatch (pick lists), warehouse staff management, warehouse stock counts and inventory reconciliation (stock counts), and barcode scanning (barcode lookup + line entry). Verified end to end: receiving a draft goods receipt raises the warehouse balance and the roll-up; a pick list runs pending → picked (stock issued) → packed → dispatched and carries a linked order to out_for_delivery; re-dispatching or re-receiving returns 409; a stock count reconciles, writing the variance and posting the count adjustment; a barcode resolves to its product; a caller without product.manage gets 403 on every write. nest build, admin vite build and the OpenAPI regeneration (317 paths / 401 operations) are clean.</w:t>
      </w:r>
    </w:p>
    <w:p>
      <w:pPr>
        <w:pStyle w:val="Heading2"/>
      </w:pPr>
      <w:r>
        <w:t>Impact on this document</w:t>
      </w:r>
    </w:p>
    <w:p>
      <w:pPr>
        <w:pStyle w:val="BodyText"/>
      </w:pPr>
      <w:r>
        <w:t>Alpha — exercisable in the running admin app: the Inventory screen’s new Warehouse ops tab (Staff / Goods receipts / Pick lists / Stock counts) and the bin-kind selector on the Warehouses tab. Seeded Agro data (a manager persona, staff, bins, a draft receipt, a pending pick list, an open count) is there to start from.</w:t>
      </w:r>
    </w:p>
    <w:p>
      <w:pPr>
        <w:pStyle w:val="Heading1"/>
      </w:pPr>
      <w:r>
        <w:t>86. Implementation Status Update 81 (2 September 2026) — Asset Management: Categories, Inspections, Insurance &amp; Asset History</w:t>
      </w:r>
    </w:p>
    <w:p>
      <w:pPr>
        <w:pStyle w:val="BodyText"/>
      </w:pPr>
      <w:r>
        <w:t>An administrator asked to add and implement an “Asset Management” section for every asset owned by Multi Holdings and its subsidiaries, covering asset registration, categories, asset numbers, location, custodian, purchase information, supplier information, asset value, depreciation, transfer, maintenance, disposal, inspection, insurance, documents and history (examples: vehicles, buildings, computers, machinery, furniture, equipment, land, office equipment). The Sprint-11 Asset Service already covered registration, asset numbers, location (branch), custodian, purchase date / cost, straight-line depreciation with GL posting, asset value (net book value), transfer (including cross-company), maintenance logging, and the request → approve → dispose workflow with a derecognition entry. This pass builds the rest.</w:t>
      </w:r>
    </w:p>
    <w:p>
      <w:pPr>
        <w:pStyle w:val="BodyText"/>
      </w:pPr>
      <w:r>
        <w:t>Migration 20260902120000_asset_management adds asset_categories (a first-class category with a code, a name and depreciation defaults — method, useful life in years, salvage as a percentage of cost — that a newly-registered asset inherits unless the registration overrides them); asset_inspections (a periodic condition inspection: date, inspector, a condition rating of excellent / good / fair / poor / unserviceable, findings, action required and a next-due date, distinct from the one-off inspection notes inside the disposal workflow); asset_insurance_policies (a first-class policy: insurer, policy number, cover amount, premium, term and a status of active / expired / cancelled, superseding the three inline insurer / policy-number / expiry fields, which are kept in step with the latest policy for backward compatibility); and asset_events (an append-only asset-history row written by every lifecycle action). The Asset record itself gains category_id, supplier_id (a link to the Supplier master), purchase_reference (PO / invoice number) and warranty_expiry_date.</w:t>
      </w:r>
    </w:p>
    <w:p>
      <w:pPr>
        <w:pStyle w:val="BodyText"/>
      </w:pPr>
      <w:r>
        <w:t>New endpoints sit under the existing asset.manage / asset.viewAll / asset.approve.disposal permissions — no new permission. GET / POST /assets/categories and PATCH /assets/categories/:id manage categories. GET / POST /assets/:id/inspections record and list inspections. GET / POST /assets/:id/insurance and PATCH /assets/insurance/:policyId manage insurance policies. GET /assets/:id/history returns the chronological event timeline. Four reports are exposed at GET /assets/reports/*: register (the fixed-asset register — cost, accumulated depreciation, net book value, category, custodian, location, per asset with totals), depreciation-schedule (per straight-line asset: annual charge, accumulated, NBV, years remaining), insurance-expiring (policies already expired or within N days of expiry) and inspections-due (assets whose next inspection date has passed or falls within N days). Registration also auto-generates the asset number as AST-YYYY-NNNN when one is not supplied, and inherits the category's depreciation defaults.</w:t>
      </w:r>
    </w:p>
    <w:p>
      <w:pPr>
        <w:pStyle w:val="BodyText"/>
      </w:pPr>
      <w:r>
        <w:t>Every lifecycle action — registration, record update, transfer, depreciation, maintenance, inspection, insurance add / update, and each disposal step — now writes an asset_events row, so GET /assets/:id/history is a single chronological read rather than six tables stitched together. Every mutation is also audited as before (asset.category.created / updated, asset.inspection.recorded, asset.insurance.added / updated). The admin Assets screen gains a Categories manager, and each asset opens a detail dialog with Overview, Inspections, Insurance and History tabs; the registration form gains a category picker, supplier / purchase-reference / warranty fields and an optional (auto-generated) asset number. Seed data adds eight asset categories for Morise Agro Ltd (Vehicles, Buildings, Computers, Machinery, Furniture, Equipment, Land, Office Equipment) with depreciation defaults, links the three seeded assets to a category / supplier / purchase reference, backfills their history events, and adds an inspection and a first-class insurance policy on the Toyota Hilux.</w:t>
      </w:r>
    </w:p>
    <w:p>
      <w:pPr>
        <w:pStyle w:val="BodyText"/>
      </w:pPr>
      <w:r>
        <w:t>Asset documents remain a text document_reference on the record — the same deferred object-storage gap this project carries for company logos, employee documents and supplier contracts. Verified end to end: a category's defaults flow into a new asset; the asset number auto-generates; the history timeline shows registration, inspection and insurance events in order; the register and depreciation-schedule reports total correctly; the insurance-expiring and inspections-due reports pick up the seeded policy and a new inspection; a caller without asset.manage gets 403 on every write. nest build, admin vite build and the OpenAPI regeneration (327 paths / 414 operations) are clean.</w:t>
      </w:r>
    </w:p>
    <w:p>
      <w:pPr>
        <w:pStyle w:val="Heading2"/>
      </w:pPr>
      <w:r>
        <w:t>Impact on this document</w:t>
      </w:r>
    </w:p>
    <w:p>
      <w:pPr>
        <w:pStyle w:val="BodyText"/>
      </w:pPr>
      <w:r>
        <w:t>Alpha — exercisable in the running admin app: the Assets screen's new Categories manager and the per-asset detail dialog (Overview / Inspections / Insurance / History tabs), plus the category picker and supplier / PO / warranty fields on the registration form. Seeded Agro data (eight categories, linked assets, a seeded inspection and policy) is there to start from.</w:t>
      </w:r>
    </w:p>
    <w:p>
      <w:pPr>
        <w:pStyle w:val="Heading1"/>
      </w:pPr>
      <w:r>
        <w:t>87. Implementation Status Update 82 (2 September 2026) — Fleet &amp; Vehicle Management Module</w:t>
      </w:r>
    </w:p>
    <w:p>
      <w:pPr>
        <w:pStyle w:val="BodyText"/>
      </w:pPr>
      <w:r>
        <w:t>An administrator asked to add and implement a “Fleet and Vehicle Management” section covering vehicle registration, vehicle ownership, driver assignment, vehicle tracking, fuel management, mileage, service schedules, repairs, insurance, inspection, licence renewal, accident records, vehicle expenses and fuel-consumption reports. This ships as a new Fleet module, a fleet register that sits on top of — and optionally links to — the Asset module (a vehicle asset already carries purchase cost, depreciation, first-class insurance policies and periodic inspections from the Asset Management pass).</w:t>
      </w:r>
    </w:p>
    <w:p>
      <w:pPr>
        <w:pStyle w:val="BodyText"/>
      </w:pPr>
      <w:r>
        <w:t>Migration 20260902130000_fleet_management adds vehicles (registration number unique per company, make / model / year / VIN / colour, fuel type, ownership type of owned / leased / financed / hired with an owner name for a lessor or financier, acquisition date, current odometer, a manual last-known-location, status of active / in_service / off_road / sold / written_off, and an optional 1:1 link to an Asset) plus eight child tables: vehicle_driver_assignments (one active per vehicle, the previous auto-ended on reassignment), vehicle_odometer_readings (the mileage history — also written from fuel and service entries), fuel_logs (date, litres, cost, odometer, station, filled-to-full flag), service_schedules (an interval in km and/or days with a computed next-due odometer and date), service_records (kind service or repair, tied optionally to a schedule which it then advances), vehicle_renewals (road licence, inspection certificate, PSV permit, insurance, road worthiness or other, with a reference, expiry date and cost), accident_records (severity, description, driver, third-party flag, estimated cost, insurance-claim and police-report references, resolved flag) and vehicle_expenses (a rolled-up log — a fuel log, a service / repair record and a paid renewal each auto-create a matching expense line, and manual lines can be added).</w:t>
      </w:r>
    </w:p>
    <w:p>
      <w:pPr>
        <w:pStyle w:val="BodyText"/>
      </w:pPr>
      <w:r>
        <w:t>A new fleet.manage / fleet.viewAll permission pair is added (domain operations) and granted the same way delivery.* was: manage + viewAll to Super Administrator, Managing Director, IT Administrator and Operations Manager; manage (own scope) to Branch Manager and the Warehouse Manager; viewAll to Group CEO, Auditor, External Auditor, Board Member and the Read-only User. Endpoints sit under /api/v1/fleet: GET / POST /fleet/vehicles, GET / PATCH /fleet/vehicles/:id, GET /fleet/vehicles/:id/summary, POST /fleet/vehicles/:id/location; GET / POST /fleet/vehicles/:id/assignments and POST /fleet/assignments/:id/end; GET / POST /fleet/vehicles/:id/odometer and .../fuel; GET / POST /fleet/vehicles/:id/service-schedules, PATCH /fleet/service-schedules/:id, GET / POST /fleet/vehicles/:id/service-records; GET / POST /fleet/vehicles/:id/renewals; GET / POST /fleet/vehicles/:id/accidents and PATCH /fleet/accidents/:id; GET / POST /fleet/vehicles/:id/expenses.</w:t>
      </w:r>
    </w:p>
    <w:p>
      <w:pPr>
        <w:pStyle w:val="BodyText"/>
      </w:pPr>
      <w:r>
        <w:t>Five reports are exposed at GET /fleet/reports/*: fleet-register (every vehicle with its key attributes and odometer), fuel-consumption (per vehicle: fills, litres, cost, distance from consecutive full-to-full fills, L/100km, km/L and cost/km, with a date range), expenses (per vehicle and per category totals with cost/km, date-ranged), renewals-due (renewals already expired or within N days of expiry) and service-due (schedules past their next-due odometer or date). GET /fleet/vehicles/:id/summary rolls these up for one vehicle — active driver, services due, next renewal, year-to-date expense by category and lifetime fuel economy. Every mutation is audited (fleet.vehicle.registered / updated, fleet.driver.assigned, fleet.fuel.logged, fleet.odometer.logged, fleet.service.recorded / repair.recorded, fleet.renewal.recorded, fleet.accident.recorded / updated, fleet.expense.recorded).</w:t>
      </w:r>
    </w:p>
    <w:p>
      <w:pPr>
        <w:pStyle w:val="BodyText"/>
      </w:pPr>
      <w:r>
        <w:t>Live GPS telematics is out of scope — “vehicle tracking” here is the odometer history plus a manual last-known-location. Vehicle inspection and insurance are covered by the linked asset’s AssetInspection / AssetInsurancePolicy records (Asset Management pass, 2 September 2026); the fleet module adds the statutory renewals a vehicle also needs. The admin app gains a new Fleet screen (nav entry under Admin / Backend, route /fleet, gated on fleet.manage / fleet.viewAll) with a vehicle register, a per-vehicle detail dialog (Summary / Drivers / Fuel / Odometer / Service / Renewals / Accidents / Expenses tabs) and a Reports tab. Seed data adds three vehicles for Morise Agro Ltd (the Toyota Hilux linked to asset AST-0001, an Isuzu FRR truck and a leased Toyota HiAce), a driver assignment, three fuel logs, a service schedule with a completed service, a repair, three renewals (one expired), an unresolved accident and the matching vehicle-expense lines. Verified end to end: fuel economy computes from full-to-full fills; a scheduled service advances the schedule’s next-due; reassigning a driver auto-ends the previous assignment; the fuel-consumption / expenses / renewals-due / service-due reports total correctly; a caller without fleet.manage gets 403 on every write while the Warehouse Manager (granted fleet.manage) can register a vehicle. nest build, admin vite build and the OpenAPI regeneration (347 paths / 444 operations) are clean.</w:t>
      </w:r>
    </w:p>
    <w:p>
      <w:pPr>
        <w:pStyle w:val="Heading2"/>
      </w:pPr>
      <w:r>
        <w:t>Impact on this document</w:t>
      </w:r>
    </w:p>
    <w:p>
      <w:pPr>
        <w:pStyle w:val="BodyText"/>
      </w:pPr>
      <w:r>
        <w:t>Alpha — exercisable in the running admin app: the new Fleet screen (vehicle register, per-vehicle detail dialog with eight tabs, Reports tab). Seeded Agro data (three vehicles, a driver, fuel logs, a service, a repair, renewals, an accident) is there to start from.</w:t>
      </w:r>
    </w:p>
    <w:p>
      <w:pPr>
        <w:pStyle w:val="Heading1"/>
      </w:pPr>
      <w:r>
        <w:t>88. Implementation Status Update 83 (2 September 2026) — Remaining Feature Catalogue (Sections 17-57) &amp; Notifications and Alerts</w:t>
      </w:r>
    </w:p>
    <w:p>
      <w:pPr>
        <w:pStyle w:val="BodyText"/>
      </w:pPr>
      <w:r>
        <w:t>An administrator asked to add, update and implement the remaining feature specification — sections 17 through 57 of the master requirements. This is a catalogue of ~40 areas spanning Project, Contract, Legal and Document Management; Approval Workflow; Expense, Loan, Investment and Shareholding Management; Board &amp; Corporate Governance; Customer Support; Communication; Marketing; Business Intelligence &amp; Reporting; Audit Management; the System Audit Trail; Tax and Multi-Currency Management; Multi-Branch and Inter-Company Transactions; Consolidated Financial Management; role-based BI Dashboards; Notifications &amp; Alerts; Mobile Access; Security; Backup &amp; Disaster Recovery; Integrations; API Management; Configuration &amp; Administration; Search &amp; Filtering; Data Import/Export; Workflow &amp; Automation; Business Process Management; Performance &amp; KPI Management; Compliance; Exit &amp; Employee Separation; Data Protection; the recommended System Architecture; the recommended module list; the group Key Advantage; and the phased development approach. This update records the whole block against the running system and ships one implementation from it.</w:t>
      </w:r>
    </w:p>
    <w:p>
      <w:pPr>
        <w:pStyle w:val="BodyText"/>
      </w:pPr>
      <w:r>
        <w:t>Already BUILT (with running code). Project Management — src/projects (registration, manager assignment, teams, tasks, task assignment, milestones, timelines, budget, profitability, status lifecycle; project cost = its paid expenses). Expense Management — src/expenses (claims, category, receipt reference, two-step manager/finance approval, payment posting a balanced journal entry). Customer Support — src/support (SupportTicket: category, priority, open→resolved, assignment). System Audit Trail — src/common/audit + GET /audit/logs + the PermissionsGuard recording every access_denied centrally; each row carries user, company, date/time, action, entity, previous and new value. Inter-Company Transactions — src/inter-company (loan / transfer / service-charge / cost-allocation, each posting two independently balanced journal entries) plus cross-company asset transfer. Consolidated Financial Management — ?consolidated=true income statement and balance sheet, management-accounts and budget-vs-actual across a holding company. Multi-Branch — the Branch entity with BR-01 branch scoping on employees, customers, products, warehouses, vehicles and assets, plus a branch-scoped dashboard. Business Intelligence &amp; Dashboards — src/dashboard (group and subsidiary financial position, monthly revenue / expense / profit-and-loss / cash-flow charts, company performance comparison, financial and operational alerts), src/finance overview, src/hr-dashboard, and the nine financial statements at /accounting/reports/*. Security — JWT + refresh tokens, a configurable password policy (FR-AUTH-04), account lockout / unlock, session refresh, role- plus company- / branch- / department-scoped permissions, direct grant/revoke on top of roles, delegated administration, and the audit trail. API Management — a generated OpenAPI / Swagger document (openapi.json, /api/v1/docs) covering 349 paths. Configuration &amp; Administration — company-specific policies, the role and permission catalogue, financial periods, and consistent document numbering (JE-, GRN-, PICK-, AST-, CNT- …). Workflow &amp; Automation — the sales, procurement / accounts-payable, employee-lifecycle, expense and contract-expiry workflows all exist as coded state machines. Performance &amp; KPI — src/performance (review cycles, objectives / KPIs, self- and manager assessment) plus the payroll bonus and the dashboard company comparison.</w:t>
      </w:r>
    </w:p>
    <w:p>
      <w:pPr>
        <w:pStyle w:val="BodyText"/>
      </w:pPr>
      <w:r>
        <w:t>PARTIAL (thin, or delivered through another entity). Contract Management — only a text contract reference and expiry date on the Supplier record, now surfaced in the alert feed; no first-class Contract entity for customer / employee / service / lease / partnership agreements, no renewal-reminder configuration, no contract documents / approvals / history. Investment Management and Shareholding Management — the holding structure is modelled (Company parent / subsidiary, relationship type subsidiary / associate, ownership percentage) but there is no Investment or Shareholder register, valuation, dividend or share-transfer handling. Tax Management — Uganda PAYE and NSSF are computed in payroll and VAT is carried on orders and invoices, but there is no tax-configuration module, no withholding tax, tax returns or reconciliation. Multi-Currency — a currency code is stored on orders, invoices and payables, but there is no exchange-rate table, conversion, FX gain/loss or multi-currency reporting. Approval Workflow — concrete approvals are built (expense two-step, AP invoice submit→approve, asset disposal request→approve→execute, leave) and are now aggregated as pending-approval alerts, but there is no configuration engine keyed by amount / department / branch / role. Communication and Marketing — an in-process notification service, the storefront newsletter and admin-managed FAQ / social links, discount codes, promo banners and CMS content pages exist; internal messaging, real email / SMS / push transport, and marketing campaigns / segmentation / leads / ROI do not. Search &amp; Filtering — every list endpoint takes filter[…] parameters, but there is no single global-search endpoint. Data Import / Export — reports export to CSV and PDF; there is no bulk Excel / CSV import. Mobile Access — both React apps use responsive layout, but there is no dedicated mobile client and some dense admin screens assume a desktop. Compliance and Data Protection — the expiry alerts, RBAC and scope access restrictions and masked sensitive fields are in place; a compliance register, checklists, field-level encryption at rest and a data-retention policy are not.</w:t>
      </w:r>
    </w:p>
    <w:p>
      <w:pPr>
        <w:pStyle w:val="BodyText"/>
      </w:pPr>
      <w:r>
        <w:t>PLANNED (no code yet). Legal Management — no legal-case, litigation, lawyer, permit / licence register or legal-deadline entities. Document Management — the project-wide object-storage gap: every “documents” feature (company logos, employee documents, supplier contracts, asset documents, project documents) is a text reference, not an upload / version / preview / signature store; there is no Document entity, versioning, digital signatures or a document-specific audit trail. Loan &amp; Financing Management — only the short-term SalaryAdvance (auto-recovered from payroll) exists; there is no loan facility, applications, repayment schedules, interest calculation or loan statements. Board &amp; Corporate Governance — no board-member, meeting, agenda, minutes, resolution, committee or voting entities. Audit Management — the audit TRAIL is built; audit MANAGEMENT (audit planning, internal / external audit engagements, findings, corrective actions, follow-ups) is not. Backup &amp; Disaster Recovery — only the Docker Postgres volume; no scheduled / cloud backup, replication, restore tooling or backup verification. Integration Features — none of the external integrations (banks, mobile money, payment gateways, real email / SMS gateways, tax systems, biometric devices, GPS / fleet telematics, cloud storage) are built; Google login and the Kafka event bus are seams only. Business Process Management — no workflow designer or configurable approval-level engine. Exit &amp; Employee Separation — an employment end date and status exist, but there is no resignation / termination / retirement workflow, exit interview, clearance checklist, final-pay or benefits calculation, or certificate generation.</w:t>
      </w:r>
    </w:p>
    <w:p>
      <w:pPr>
        <w:pStyle w:val="BodyText"/>
      </w:pPr>
      <w:r>
        <w:t>System Architecture (section 54) and phasing (section 57). The running stack already matches the recommendation's core — Node.js LTS, NestJS, Fastify, PostgreSQL, Redis, Prisma, REST / OpenAPI, JWT with refresh tokens, class-validator, Docker. The distributed pieces (a microservices split, Kafka event streaming, Jaeger / EFK tracing, Prometheus / Grafana, Ansible, Certbot, iRedMail, Zulip / Slack) are explicitly deferred: this proof-of-concept is a single modular NestJS service with the Kafka consumer seam stubbed (AuditService is called directly and synchronously), exactly as 07_System Design Document records. Against the phased approach: Phase 1 (Core) is complete; Phase 2 (Business Operations — sales, procurement, inventory, warehouse, expenses, assets, projects) is complete; Phase 3 (Advanced Finance — payroll incl. salary structures, budgeting, banking through the GL, inter-company, consolidated accounting) is largely complete, with loans, investments and a tax module the gaps; Phase 4 (Enterprise Management — HR is deep, CRM = the customer master plus support, BI is substantial) is partial, with contracts, legal, compliance, board management and document management outstanding; Phase 5 (Integration &amp; Security — the UI is responsive, OpenAPI is generated) is minimal, with API keys, integrations, 2FA, automated backup and disaster recovery all outstanding.</w:t>
      </w:r>
    </w:p>
    <w:p>
      <w:pPr>
        <w:pStyle w:val="BodyText"/>
      </w:pPr>
      <w:r>
        <w:t>IMPLEMENTED THIS PASS — Notifications &amp; Alerts (section 39). A new src/alerts module exposes GET /api/v1/alerts and GET /api/v1/alerts/summary: a single cross-module feed, derived at request time (no schema, no new permission, read-only) from eleven sources — accounts-receivable invoices overdue, accounts-payable invoices overdue, pending approvals (expense claims at the manager and finance step, supplier invoices, asset disposals and leave requests, as grouped counts), supplier contracts expiring or expired, vehicle statutory renewals due or expired, vehicle service schedules due (by date or by odometer), asset insurance policies expiring, asset inspections due, products below their minimum or reorder point (or out of stock), stock batches expiring, and projects nearing or past their planned end date. Each alert carries a severity (critical = already overdue / expired, warning = within the window, info), a category, the owning company, a title, a detail line, the linked entity, a date and an amount where relevant. The feed is filtered to the caller's company scope per BR-01 unless they hold organization.company.viewAll, takes a days window (default 30, up to 365), and accepts category and severity filters; /summary returns counts by severity and by category with an overdue-versus-upcoming split. The admin app gains an Alerts screen (navigation under Admin / Backend, route /alerts) with a severity KPI row, clickable category chips and a filterable table. Verified end to end against the seeded data (17 alerts across 8 categories, correctly ranked and scope-filtered); nest build and admin vite build clean; openapi.json regenerated (347 → 349 paths, 446 operations).</w:t>
      </w:r>
    </w:p>
    <w:p>
      <w:pPr>
        <w:pStyle w:val="Heading2"/>
      </w:pPr>
      <w:r>
        <w:t>Impact on this document</w:t>
      </w:r>
    </w:p>
    <w:p>
      <w:pPr>
        <w:pStyle w:val="BodyText"/>
      </w:pPr>
      <w:r>
        <w:t>Alpha — the new Alerts screen (severity KPIs, category chips, filterable table) is exercisable in the running admin app against the seeded data. The rest of sections 17-57 is either exercisable in its existing screen (Projects, Expenses, Support, Reports, Inter-Company, Audit Trail) or not yet built.</w:t>
      </w:r>
    </w:p>
    <w:p>
      <w:pPr>
        <w:pStyle w:val="Heading1"/>
      </w:pPr>
      <w:r>
        <w:t>89. Implementation Status Update 84 (2 September 2026) — Final System Objective &amp; the Executive Answer Layer</w:t>
      </w:r>
    </w:p>
    <w:p>
      <w:pPr>
        <w:pStyle w:val="BodyText"/>
      </w:pPr>
      <w:r>
        <w:t>An administrator asked to add, update and implement the Final System Objective — the closing statement of the master specification. It states that the finished Morise Holdings Limited system should be a single centralized platform for managing the entire group while keeping proper separation between companies, branches, departments and users, and that it should let management answer a fixed set of seventeen questions: how much money the group has; which subsidiary makes the most profit; which is underperforming; how much each company owes suppliers; how much customers owe the group; what assets each company owns; how many employees the group has; how much is spent on salaries; which projects are profitable; which contracts are about to expire; which vehicles require servicing; which stock items are running low; which payments require approval; how much each department has spent; how group investments are performing; what the current liabilities are; and what the consolidated financial position of the entire group is. The resulting platform is characterised as an ERP + HRM + CRM + Accounting + Inventory + Procurement + Project Management + Asset Management + Corporate Governance system structured specifically for Morise Holdings Limited.</w:t>
      </w:r>
    </w:p>
    <w:p>
      <w:pPr>
        <w:pStyle w:val="BodyText"/>
      </w:pPr>
      <w:r>
        <w:t>The separation model the objective demands is already the spine of the build: BR-01 company / branch / department scoping enforced server-side across every module, a role and permission catalogue with direct grant / revoke and delegated administration, and the group → subsidiary → branch hierarchy in the Organization service, so a Group role sees consolidated information while a subsidiary-scoped user sees only their own company (the “centralized group management with controlled subsidiary independence” of section 56). The module coverage the objective names is substantially in place: Accounting and Finance (chart of accounts, journals, periods, AR, AP, nine financial statements, consolidated variants), HR and Payroll, CRM (the customer master plus support), Inventory and Warehouse operations, Procurement’s supplier and accounts-payable tail, Project Management, Asset Management, Fleet, and the group dashboards.</w:t>
      </w:r>
    </w:p>
    <w:p>
      <w:pPr>
        <w:pStyle w:val="BodyText"/>
      </w:pPr>
      <w:r>
        <w:t>IMPLEMENTED THIS PASS — the executive answer layer. A new src/executive module exposes GET /api/v1/executive/questions and GET /api/v1/executive/overview. /questions returns the seventeen questions each with a plain-language answer computed from live data, a numeric value, a unit (money / count), a status (answered / partial / planned) and, where useful, a per-company or per-item breakdown. /overview returns the same figures as a compact key-value summary for a dashboard tile. Both are filtered to the caller’s company scope per BR-01: a user holding organization.company.viewAll gets the whole group; a subsidiary-scoped user gets only their companies, and the answers (net profit, cash, receivables, payables, headcount, salary bill, liabilities, consolidated position) recompute for that narrower set. The answers draw on the existing DashboardService financials (per-company assets, liabilities, cash, receivables, payables, revenue, expense, net profit and their group totals) plus direct queries for asset net book value, active headcount and the monthly gross-salary bill, project profitability (recorded revenue less attributed paid expenses), supplier contracts expiring within 60 days, vehicle service schedules due by date or odometer, products below their minimum or reorder point, pending approvals (expense claims at the manager and finance step plus supplier invoices), and paid expenses grouped by department. Two answers are marked partial — “which contracts are about to expire?” covers only supplier contracts today, and “how much has each department spent?” counts only paid expenses — and one is marked planned — “how are group investments performing?”, pending a first-class Investment register.</w:t>
      </w:r>
    </w:p>
    <w:p>
      <w:pPr>
        <w:pStyle w:val="BodyText"/>
      </w:pPr>
      <w:r>
        <w:t>Read-only; no schema change; no new permission. The admin app gains an Executive Q&amp;A screen (navigation under the Financial &amp; Accounting category, route /executive) with a six-tile key-figure strip and one card per question, each showing its status, its plain-language answer, its headline value and an expandable breakdown table. Verified end to end: the Managing Director sees all seventeen answers for the whole group; a subsidiary-scoped Branch Manager sees the same seventeen recomputed for their one company (headcount, net profit and the top-subsidiary line all narrow correctly). nest build and admin vite build clean; openapi.json regenerated (349 → 351 paths, 448 operations). This completes the documentation pass over the master specification: sections 1-16 were built across Sprints 1-16 and Updates 26-69, sections 17-57 were catalogued in Update 83 with the Notifications &amp; Alerts feed shipped, and the Final System Objective is answered here.</w:t>
      </w:r>
    </w:p>
    <w:p>
      <w:pPr>
        <w:pStyle w:val="Heading2"/>
      </w:pPr>
      <w:r>
        <w:t>Impact on this document</w:t>
      </w:r>
    </w:p>
    <w:p>
      <w:pPr>
        <w:pStyle w:val="BodyText"/>
      </w:pPr>
      <w:r>
        <w:t>Alpha — the Executive Q&amp;A screen (key-figure strip + one card per question with a status pill and an expandable breakdown) is exercisable in the running admin app against the seeded data.</w:t>
      </w:r>
    </w:p>
    <w:p>
      <w:pPr>
        <w:pStyle w:val="Heading1"/>
      </w:pPr>
      <w:r>
        <w:t>90. Implementation Status Update 85 (2 September 2026) — Payroll Payslips Visible to Staff on Approval</w:t>
      </w:r>
    </w:p>
    <w:p>
      <w:pPr>
        <w:pStyle w:val="BodyText"/>
      </w:pPr>
      <w:r>
        <w:t>An administrator asked that, once a payroll run is approved for a company, that company's staff and members be able to view their own payslip in the My Payslips section of My HR in the admin application — without waiting for the run to be paid. Until now a payslip only appeared to its owner after the payroll run had been marked paid; between approval and payment the employee could see nothing, even though the run's figures were already final.</w:t>
      </w:r>
    </w:p>
    <w:p>
      <w:pPr>
        <w:pStyle w:val="BodyText"/>
      </w:pPr>
      <w:r>
        <w:t>My HR is the employee self-service area of the admin app: every screen is scoped to the signed-in user through the Employee.userId link, so a person sees only their own attendance, leave, shifts, performance, payslips and salary advances. My Payslips is backed by GET /api/v1/my-hr/payslips, which returned the caller's payslip rows whose payroll run had reached status paid — each with the period, the pay date, gross pay, PAYE, NSSF (employee and employer), salary-advance recovery, other deductions, net pay and the earnings breakdown.</w:t>
      </w:r>
    </w:p>
    <w:p>
      <w:pPr>
        <w:pStyle w:val="BodyText"/>
      </w:pPr>
      <w:r>
        <w:t>IMPLEMENTED THIS PASS. GET /api/v1/my-hr/payslips now returns a payslip as soon as its payroll run is approved: the run-status filter widened from paid to approved-or-paid, and each row now also carries the run status (approved or paid) and the approvedAt date alongside paidAt. Draft and cancelled runs stay invisible, and the per-employee scoping is unchanged — a staff member still sees only their own payslip. POST /api/v1/payroll/runs/:id/approve now notifies every run member who has a login, the same way the pay step already did: each linked employee gets a “Your payslip for &lt;month&gt; &lt;year&gt; is ready to view” notification pointing at My HR → My Payslips, and the payment-time notification was reworded to “Your &lt;month&gt; &lt;year&gt; pay has been released.”</w:t>
      </w:r>
    </w:p>
    <w:p>
      <w:pPr>
        <w:pStyle w:val="BodyText"/>
      </w:pPr>
      <w:r>
        <w:t>The My Payslips screen (mbms/frontend/src/pages/MyHr.jsx) gains a Status column — an amber “Approved · awaiting payment” badge until the run is paid, then a green “Paid · &lt;date&gt;” badge — and the same status line in the payslip detail dialog; the empty-state text now reads “… once a payroll run that includes you has been approved.” Read-only widening of an existing endpoint: no schema change, no migration, no new permission. Verified end to end against the seeded data: a holding-company staff member with a login sees the approved August 2026 run's payslip immediately (status approved, no pay date); a freshly created draft run's payslips stay invisible; approving a run fires exactly one notification per member with a login; paying the run flips the badge to Paid. nest build and admin vite build clean; openapi.json unchanged (351 paths / 448 operations / 175 schemas).</w:t>
      </w:r>
    </w:p>
    <w:p>
      <w:pPr>
        <w:pStyle w:val="Heading2"/>
      </w:pPr>
      <w:r>
        <w:t>Impact on this document</w:t>
      </w:r>
    </w:p>
    <w:p>
      <w:pPr>
        <w:pStyle w:val="BodyText"/>
      </w:pPr>
      <w:r>
        <w:t>Alpha — exercisable in the running admin app: approve a draft run for a company, then open My Payslips as a linked staff persona and see the payslip appear with an amber awaiting-payment badge.</w:t>
      </w:r>
    </w:p>
    <w:p>
      <w:pPr>
        <w:pStyle w:val="Heading1"/>
      </w:pPr>
      <w:r>
        <w:t>91. Implementation Status Update 86 (2 September 2026) — Alerts on the Admin Bell, Routed by Department</w:t>
      </w:r>
    </w:p>
    <w:p>
      <w:pPr>
        <w:pStyle w:val="BodyText"/>
      </w:pPr>
      <w:r>
        <w:t>An administrator asked that the Alerts feed introduced in Update 83 show up on the admin app's bell icon as notifications, and that every logged-in admin staff member see those notifications filtered to their own department. Until now the Alerts feed lived only on its own screen (GET /api/v1/alerts); the bell showed workflow notifications pushed explicitly by individual modules, and nothing routed anything by department.</w:t>
      </w:r>
    </w:p>
    <w:p>
      <w:pPr>
        <w:pStyle w:val="BodyText"/>
      </w:pPr>
      <w:r>
        <w:t>The Alerts feed is a single cross-module list of time-sensitive things that need attention — overdue customer and supplier invoices, pending approvals, expiring supplier contracts, vehicle statutory renewals and services due, asset insurance and inspections, stock below its minimum, expiring stock batches and project deadlines — each derived live from the module that owns it and filtered to the caller's company scope (BR-01). The bell is a per-user in-app feed: a Notification row per recipient, polled every 20 seconds for its unread count, with no scheduler or push infrastructure in this proof-of-concept.</w:t>
      </w:r>
    </w:p>
    <w:p>
      <w:pPr>
        <w:pStyle w:val="BodyText"/>
      </w:pPr>
      <w:r>
        <w:t>IMPLEMENTED THIS PASS. Every alert is now tagged with the department responsible for acting on it. Where the source record carries a department (projects) that column is used; otherwise the owning function is matched, case-insensitively and as a substring, against that company's own department names — so overdue invoices route to Finance / Billing, expiring contracts to Procurement, vehicle renewals and services to Fleet / Logistics / Distribution, stock and batch alerts to Warehouse / Inventory, and pending-approval queues by queue type (expense and supplier-invoice approvals to Finance, leave approvals to Human Resources). An alert that matches no department is treated as company-wide. A new AlertsService.syncToNotifications(user) mirrors the caller's live alert feed onto their bell as Notification rows of type alert:&lt;category&gt;, reconciling on each read — it creates a row for every alert that has none yet and deletes rows whose underlying alert has cleared, so the bell always reflects the current feed without a scheduler. The sync runs at the top of GET /api/v1/notifications and GET /api/v1/notifications/unread-count, is best-effort (a failure never breaks the feed) and is throttled to one reconcile per user every two minutes.</w:t>
      </w:r>
    </w:p>
    <w:p>
      <w:pPr>
        <w:pStyle w:val="BodyText"/>
      </w:pPr>
      <w:r>
        <w:t>The department filter: a staff member whose department is known — resolved from their linked Employee record, or a department-scoped access grant — sees their department's alerts plus the company-wide ones; a user with group-wide visibility (organization.company.viewAll), or one with no department at all, sees everything already in their company scope, exactly as before. Notification gains a nullable department_id column (migration 20260902140000_notification_department) and the feed now returns the routed department id and name on each row; the bell marks alert notifications with a warning glyph and shows a small department chip. No new permission, no new endpoint. Verified end to end on the seeded data (fifteen Agro alerts): the Finance &amp; Administration user receives the three overdue-invoice notifications plus the five company-wide pending-approval ones and none of the seven warehouse-routed alerts; the Warehouse &amp; Distribution user receives the stock, batch and vehicle alerts plus the five pending approvals and none of the overdue invoices; a user with no department and the Managing Director (group visibility) receive all fifteen; re-polling never duplicates a row and clearing an alert removes its notification. nest build and admin vite build clean; prisma migrate deploy applied; openapi.json regenerated (351 paths / 448 operations, path order only).</w:t>
      </w:r>
    </w:p>
    <w:p>
      <w:pPr>
        <w:pStyle w:val="Heading2"/>
      </w:pPr>
      <w:r>
        <w:t>Impact on this document</w:t>
      </w:r>
    </w:p>
    <w:p>
      <w:pPr>
        <w:pStyle w:val="BodyText"/>
      </w:pPr>
      <w:r>
        <w:t>Alpha — exercisable in the running admin app against the seeded alerts: the Finance user's bell carries the overdue-invoice and pending-approval alerts, the Warehouse user's carries stock / batch / vehicle, the Managing Director's carries all of them.</w:t>
      </w:r>
    </w:p>
    <w:p>
      <w:pPr>
        <w:pStyle w:val="Heading1"/>
      </w:pPr>
      <w:r>
        <w:t>92. Implementation Status Update 87 (2 September 2026) — Alert Notifications Made Visible on the Bell</w:t>
      </w:r>
    </w:p>
    <w:p>
      <w:pPr>
        <w:pStyle w:val="BodyText"/>
      </w:pPr>
      <w:r>
        <w:t>After Update 86 an administrator reported that the alert notifications still did not appear on the admin app's bell for logged-in staff. Investigation with a headless browser showed the cause was purely presentational: the notification dropdown is rendered inside the navy top bar, which sets a white text colour, and the dropdown panel never reset it — so every row was drawn in white text on a white background. The unread count on the bell was correct and the rows were in the DOM; they were simply invisible. This pass fixes the visibility and tightens the department routing.</w:t>
      </w:r>
    </w:p>
    <w:p>
      <w:pPr>
        <w:pStyle w:val="BodyText"/>
      </w:pPr>
      <w:r>
        <w:t>The dropdown panel now sets an explicit dark text colour and opaque white background (and a left text alignment), so the notification title, its detail line, the timestamp and the department chip all render at normal contrast. The department chip uses the standard neutral badge style. No behavioural change to what is shown — only whether it can be seen.</w:t>
      </w:r>
    </w:p>
    <w:p>
      <w:pPr>
        <w:pStyle w:val="BodyText"/>
      </w:pPr>
      <w:r>
        <w:t>Department routing was also made deterministic. Each alert category carries an ordered list of department-name keywords, most-specific owner first; routing now walks that list in order and the first keyword that matches any of the company's departments wins, instead of taking whichever department happened to appear first in the list. So a low-stock alert resolves to “Warehouse &amp; Distribution” on the “warehouse” keyword rather than falling through to a broader “Field Operations”, and a handful of catch-all keywords (field, operations) were added at the end of the vehicle, stock, batch and inspection categories so companies that have only a general operations department still receive those alerts.</w:t>
      </w:r>
    </w:p>
    <w:p>
      <w:pPr>
        <w:pStyle w:val="BodyText"/>
      </w:pPr>
      <w:r>
        <w:t>No schema change, no new endpoint, no new permission — this is the visibility fix for Update 86. Re-verified end to end in the running admin app with three personas: the IT Administrator (group-wide visibility) sees all fifteen seeded Agro alerts on the bell, each with its department chip (Finance &amp; Administration or Warehouse &amp; Distribution); the Finance Manager (scoped, Finance &amp; Administration) sees the three overdue-invoice alerts plus the five company-wide pending-approval alerts and none of the warehouse-routed ones; the Branch Manager (scoped, Field Operations) sees the five company-wide pending-approval alerts. All rows are legible, the ⚠️ marker and the department chip show, and re-polling does not duplicate. nest build and admin vite build clean; openapi.json unchanged.</w:t>
      </w:r>
    </w:p>
    <w:p>
      <w:pPr>
        <w:pStyle w:val="Heading2"/>
      </w:pPr>
      <w:r>
        <w:t>Impact on this document</w:t>
      </w:r>
    </w:p>
    <w:p>
      <w:pPr>
        <w:pStyle w:val="BodyText"/>
      </w:pPr>
      <w:r>
        <w:t>Alpha — verified in the running admin app with the IT Administrator, Finance Manager and Branch Manager personas — all see their expected, legible alert rows.</w:t>
      </w:r>
    </w:p>
    <w:p>
      <w:pPr>
        <w:pStyle w:val="Heading1"/>
      </w:pPr>
      <w:r>
        <w:t>93. Implementation Status Update 88 (2 September 2026) — Social Media Channels Managed From One Shared Record</w:t>
      </w:r>
    </w:p>
    <w:p>
      <w:pPr>
        <w:pStyle w:val="BodyText"/>
      </w:pPr>
      <w:r>
        <w:t>An administrator asked to manage the storefront's social media channels from the CMS / Site Builder section of the admin/backend so that a single edit — one handle, one display name, one tagline, one visibility setting — can be pushed to every social media channel at once, and so that adding, updating or deleting all channels is a single click rather than a per-channel chore.</w:t>
      </w:r>
    </w:p>
    <w:p>
      <w:pPr>
        <w:pStyle w:val="BodyText"/>
      </w:pPr>
      <w:r>
        <w:t>A new SocialContent table (migration 20260902150000_social_content) holds exactly one row: the shared content record — an account handle, a display name used as the link label on every channel, a tagline shown above the channel row in the storefront footer, and a shared visibility flag. It sits alongside the existing per-channel SocialLink table, which is unchanged, so a channel can still be added or edited individually as before.</w:t>
      </w:r>
    </w:p>
    <w:p>
      <w:pPr>
        <w:pStyle w:val="BodyText"/>
      </w:pPr>
      <w:r>
        <w:t>Four endpoints were added under the existing cms.manage / cms.viewAll permissions (no new permission): GET and PUT /api/v1/cms/social-content read and save the shared record; POST /api/v1/cms/social-content/apply pushes it onto every channel in one call — with { createMissing: true } it first creates a channel for every supported platform, building each URL from the shared handle, and with { overwriteUrls: true } it rebuilds every channel URL from that handle; DELETE /api/v1/cms/social-content/channels removes every channel at once. The CMS / Site Builder screen gains a “Shared content — one edit, all channels” panel with Save, “Apply to all channels”, “Add &amp; sync every platform” and “Clear all channels” buttons. The storefront footer now shows the shared tagline above the channel icons via a new public GET /api/v1/customer-portal/public/social-content.</w:t>
      </w:r>
    </w:p>
    <w:p>
      <w:pPr>
        <w:pStyle w:val="BodyText"/>
      </w:pPr>
      <w:r>
        <w:t>Verified end to end against the running system: saving the shared record then clicking “Add &amp; sync every platform” created the eight buildable platform channels and set every label and visibility from the record; “Apply to all channels” with the URL-rebuild option on rewrote every channel URL from the handle; “Clear all channels” deleted them all and a re-apply with createMissing rebuilt them; the storefront footer read the shared tagline. Every mutation writes an audit event (cms.social_content.updated / applied / cleared). nest build, admin vite build and storefront vite build all clean; openapi.json regenerated (355 paths, 453 operations).</w:t>
      </w:r>
    </w:p>
    <w:p>
      <w:pPr>
        <w:pStyle w:val="Heading2"/>
      </w:pPr>
      <w:r>
        <w:t>Impact on this document</w:t>
      </w:r>
    </w:p>
    <w:p>
      <w:pPr>
        <w:pStyle w:val="BodyText"/>
      </w:pPr>
      <w:r>
        <w:t>Alpha — exercised end to end in the running app; all three one-click actions (apply, add &amp; sync, clear) and the public footer read verified.</w:t>
      </w:r>
    </w:p>
    <w:p>
      <w:pPr>
        <w:pStyle w:val="Heading1"/>
      </w:pPr>
      <w:r>
        <w:t>94. Implementation Status Update 89 (2 September 2026) — Every Social Media Platform Managed From One CMS Roster</w:t>
      </w:r>
    </w:p>
    <w:p>
      <w:pPr>
        <w:pStyle w:val="BodyText"/>
      </w:pPr>
      <w:r>
        <w:t>Following Update 88 (a shared social-content record with a one-click apply to all channels), an administrator asked that the social media channels be managed from the CMS / Site Builder section as one place that reflects every social media platform — so the panel shows all supported platforms as a fixed list, whether or not a channel row exists yet, rather than only the channels that happen to have been added.</w:t>
      </w:r>
    </w:p>
    <w:p>
      <w:pPr>
        <w:pStyle w:val="BodyText"/>
      </w:pPr>
      <w:r>
        <w:t>The CMS / Site Builder “Social media channels” panel is now a fixed roster of every supported platform (Facebook, X, Instagram, LinkedIn, YouTube, TikTok, WhatsApp, Telegram, Other). Each platform is one editable row — URL, label, visibility, order — present at all times; a platform with no URL shows as “not set” with its expected URL shape as a placeholder. Saving a row creates the channel; clearing its URL and saving removes it; the visibility toggle and the up/down order controls act on the platforms that have a row. The per-platform URL placeholder is built from the shared handle in the Update 88 record where one is set.</w:t>
      </w:r>
    </w:p>
    <w:p>
      <w:pPr>
        <w:pStyle w:val="BodyText"/>
      </w:pPr>
      <w:r>
        <w:t>Backing this: the `social_links` table now has a UNIQUE constraint on `platform` (migration 20260902160000_social_link_platform_unique — it de-duplicates any existing rows first, keeping the earliest per platform), so each platform maps to at most one channel. Two endpoints were added under the existing cms.manage / cms.viewAll permissions (no new permission): GET /api/v1/cms/social-links/roster returns all nine platforms in canonical order with any existing row merged in and a URL hint; PUT /api/v1/cms/social-links/platform/:platform creates, updates or (on an explicit empty URL) deletes that platform's single row. The free-form “add a channel” form is replaced by the roster, and the old POST /cms/social-links now rejects a second row for a platform with a clear message. Every mutation is audited as before (cms.social_link.created / updated / deleted).</w:t>
      </w:r>
    </w:p>
    <w:p>
      <w:pPr>
        <w:pStyle w:val="BodyText"/>
      </w:pPr>
      <w:r>
        <w:t>Verified end to end against the running system: the roster returns all nine platforms with the four seeded ones (Facebook, X, Instagram, LinkedIn shown; WhatsApp hidden) merged in and the rest marked “not set”; PUT platform/youtube created a row, PUT platform/facebook updated its URL, PUT platform/whatsapp with an empty URL deleted it, and POST /cms/social-links for an existing platform returned a 409 with the “edit it in the platform roster” message; the storefront footer reflected each change. nest build, admin vite build and storefront vite build all clean; prisma migrate deploy applied; openapi.json regenerated (357 paths, 455 operations). The Update 88 shared-content panel and its one-click apply / add-all / clear-all actions are unchanged and sit above the roster.</w:t>
      </w:r>
    </w:p>
    <w:p>
      <w:pPr>
        <w:pStyle w:val="Heading2"/>
      </w:pPr>
      <w:r>
        <w:t>Impact on this document</w:t>
      </w:r>
    </w:p>
    <w:p>
      <w:pPr>
        <w:pStyle w:val="BodyText"/>
      </w:pPr>
      <w:r>
        <w:t>Alpha — exercised end to end in the running app: roster read, per-platform create / update / delete, and the duplicate-platform guard.</w:t>
      </w:r>
    </w:p>
    <w:p>
      <w:pPr>
        <w:pStyle w:val="Heading1"/>
      </w:pPr>
      <w:r>
        <w:t>95. Implementation Status Update 90 (3 September 2026) — Automatic Staff Identification Cards for Active Administration Staff</w:t>
      </w:r>
    </w:p>
    <w:p>
      <w:pPr>
        <w:pStyle w:val="BodyText"/>
      </w:pPr>
      <w:r>
        <w:t>An administrator asked that every actively registered administration staff member carry a system-generated staff identification card that is added, updated and issued automatically rather than filled in by hand for each person.</w:t>
      </w:r>
    </w:p>
    <w:p>
      <w:pPr>
        <w:pStyle w:val="BodyText"/>
      </w:pPr>
      <w:r>
        <w:t>A new staff_id_cards table (migration 20260903120000_staff_id_cards) holds exactly one card per employee: a unique card number (MID-XXXXXXXX), an opaque verification code behind the printed QR block, a status of active / revoked / expired, an issue date and a three-year expiry, an optional photo reference and a reissue count. A card is issued automatically the moment an Employee record is created; POST /api/v1/staff-id-cards/generate back-fills a card for every active employee that still lacks one and ages out any card past its expiry; setting an employee inactive revokes the card and bringing them back re-activates it.</w:t>
      </w:r>
    </w:p>
    <w:p>
      <w:pPr>
        <w:pStyle w:val="BodyText"/>
      </w:pPr>
      <w:r>
        <w:t>A new module (src/staff-id-cards) exposes /api/v1/staff-id-cards under two new HR-domain permissions — employee.idcard.manage (issue, reissue, revoke, restore, correct the photo or expiry, run the bulk sweep) and employee.idcard.viewAll (group-wide read). It offers list / summary / get / by-employee / verify-by-code reads plus generate, issue, PATCH, reissue, revoke and restore; every mutation is audited (employee.idcard.issued / reissued / revoked / restored / updated / bulk_generated) and the feed is company-scoped per BR-01. Manage + viewAll are granted to Super Administrator, Managing Director, IT Administrator and the Human Resources Manager; manage within their own scope to the Branch Manager; viewAll to the group oversight roles.</w:t>
      </w:r>
    </w:p>
    <w:p>
      <w:pPr>
        <w:pStyle w:val="BodyText"/>
      </w:pPr>
      <w:r>
        <w:t>The staff Admin app gains a Staff ID Cards screen under Human Resources (a card-face gallery with the Morise mark, the holder's photo or initials and a QR block, plus Generate missing cards / Issue / Edit / Reissue / Revoke / Restore) and a My HR -&gt; My ID Card self-service screen (GET /api/v1/my-hr/id-card, scoped by Employee.userId). Verified end to end against the running system: 11 seeded cards issued, a newly created employee received a card automatically, deactivation revoked it and reactivation restored it, and verify-by-code, reissue and the scoped feed all behaved. nest build, admin vite build and prisma migrate deploy all clean; openapi.json regenerated (367 paths, 467 operations).</w:t>
      </w:r>
    </w:p>
    <w:p>
      <w:pPr>
        <w:pStyle w:val="Heading2"/>
      </w:pPr>
      <w:r>
        <w:t>Impact on this document</w:t>
      </w:r>
    </w:p>
    <w:p>
      <w:pPr>
        <w:pStyle w:val="BodyText"/>
      </w:pPr>
      <w:r>
        <w:t>Alpha - exploratory pass over the Staff ID Cards screen and the automatic hooks: the card gallery renders, the four actions behave, the scoped feed hides out-of-scope cards, and a persona without employee.idcard.* cannot open the screen or call the API.</w:t>
      </w:r>
    </w:p>
    <w:p>
      <w:pPr>
        <w:pStyle w:val="Heading1"/>
      </w:pPr>
      <w:r>
        <w:t>96. Implementation Status Update 91 (3 September 2026) — Staff Identification Card — Front and Back</w:t>
      </w:r>
    </w:p>
    <w:p>
      <w:pPr>
        <w:pStyle w:val="BodyText"/>
      </w:pPr>
      <w:r>
        <w:t>Following Update 90 (the automatic staff identification card), an administrator asked that the card have a distinct front and a back part rather than a single face.</w:t>
      </w:r>
    </w:p>
    <w:p>
      <w:pPr>
        <w:pStyle w:val="BodyText"/>
      </w:pPr>
      <w:r>
        <w:t>The card resource now carries a back object alongside the front fields. The front is unchanged - logo header, photo or initials, holder name / job title / staff number / company / unit, the QR block, card number and issue / expiry. The back carries the standard conditions of use, an 'if found, return to' block built from the issuing company's registered address and contact, the holder's national ID and emergency contact (read live from the Employee record), an optional blood group and a free-text note (both held on the card), a Code 128-style barcode of the card number and holder / issuing-officer signature lines.</w:t>
      </w:r>
    </w:p>
    <w:p>
      <w:pPr>
        <w:pStyle w:val="BodyText"/>
      </w:pPr>
      <w:r>
        <w:t>Two card-held back fields are added - blood_group and back_notes (migration 20260903140000_staff_id_card_back) - settable on issue and via PATCH /api/v1/staff-id-cards/:id under the existing employee.idcard.manage permission; everything else on the back is derived. GET /api/v1/staff-id-cards* and GET /api/v1/my-hr/id-card all return the new back object; no new endpoint or permission.</w:t>
      </w:r>
    </w:p>
    <w:p>
      <w:pPr>
        <w:pStyle w:val="BodyText"/>
      </w:pPr>
      <w:r>
        <w:t>The shared IdCard.jsx component renders both faces - a 'Show back / Show front' flip on the admin Staff ID Cards gallery, and front-and-back side by side on My HR -&gt; My ID Card. The admin Edit dialog gains Blood group and Back note fields. Verified end to end against the running system (the back object resolves the issuer address from the company and the blood group from the card; PATCH sets both). nest build, admin vite build and prisma migrate deploy all clean; openapi.json unchanged at 367 paths / 467 operations.</w:t>
      </w:r>
    </w:p>
    <w:p>
      <w:pPr>
        <w:pStyle w:val="Heading2"/>
      </w:pPr>
      <w:r>
        <w:t>Impact on this document</w:t>
      </w:r>
    </w:p>
    <w:p>
      <w:pPr>
        <w:pStyle w:val="BodyText"/>
      </w:pPr>
      <w:r>
        <w:t>Alpha - exploratory pass over the two-sided card: the flip control on the gallery, side-by-side on My ID Card, the Edit dialog's new fields, and the back face for cards with and without a national id / emergency contact on file.</w:t>
      </w:r>
    </w:p>
    <w:p>
      <w:pPr>
        <w:pStyle w:val="Heading1"/>
      </w:pPr>
      <w:r>
        <w:t>97. Implementation Status Update 92 (3 September 2026) — Staff Identification Card — Back Face Sized to the Front, Blood Group Removed</w:t>
      </w:r>
    </w:p>
    <w:p>
      <w:pPr>
        <w:pStyle w:val="BodyText"/>
      </w:pPr>
      <w:r>
        <w:t>Following Updates 90 and 91 (the automatic staff identification card, then its front and back), an administrator asked for two adjustments to the back: remove the blood group section, and make the back the same size as the front.</w:t>
      </w:r>
    </w:p>
    <w:p>
      <w:pPr>
        <w:pStyle w:val="BodyText"/>
      </w:pPr>
      <w:r>
        <w:t>The card back no longer shows a blood group. The card-held blood_group column is dropped (migration 20260903160000_staff_id_card_drop_blood_group); the free-text back_notes field is kept. The back object returned by GET /api/v1/staff-id-cards* and GET /api/v1/my-hr/id-card no longer carries bloodGroup, and POST / PATCH /api/v1/staff-id-cards/:id no longer accept it. The back still shows the holder's national ID and emergency contact (from the Employee), the conditions of use, the 'if found, return to' block from the issuing company's address, an optional note and the barcode.</w:t>
      </w:r>
    </w:p>
    <w:p>
      <w:pPr>
        <w:pStyle w:val="BodyText"/>
      </w:pPr>
      <w:r>
        <w:t>Both faces are now a single fixed rectangle - the shared IdCard.jsx component renders the front and the back at the same width and height (a fixed CARD_W x CARD_H box, overflow clipped), with the back's barcode and signature lines anchored to the bottom edge. The admin Edit dialog drops the Blood group field (Photo, Expiry and Back note remain).</w:t>
      </w:r>
    </w:p>
    <w:p>
      <w:pPr>
        <w:pStyle w:val="BodyText"/>
      </w:pPr>
      <w:r>
        <w:t>No new endpoint or permission; openapi.json path / operation counts unchanged (367 / 467). Verified end to end against the running system: the migration drops the column, the card and back payloads no longer include bloodGroup, backNotes still round-trips, and both card faces render at the same size. nest build, admin vite build and prisma migrate deploy all clean.</w:t>
      </w:r>
    </w:p>
    <w:p>
      <w:pPr>
        <w:pStyle w:val="Heading2"/>
      </w:pPr>
      <w:r>
        <w:t>Impact on this document</w:t>
      </w:r>
    </w:p>
    <w:p>
      <w:pPr>
        <w:pStyle w:val="BodyText"/>
      </w:pPr>
      <w:r>
        <w:t>Alpha - exploratory pass: the back face has no blood group row, both faces are the same rectangle, and the Edit dialog has no Blood group field.</w:t>
      </w:r>
    </w:p>
    <w:p>
      <w:pPr>
        <w:pStyle w:val="Heading1"/>
      </w:pPr>
      <w:r>
        <w:t>98. Implementation Status Update 93 (3 September 2026) — Morise Milling Ltd Subsidiary + Milling ERP Specification (New Doc 23)</w:t>
      </w:r>
    </w:p>
    <w:p>
      <w:pPr>
        <w:pStyle w:val="BodyText"/>
      </w:pPr>
      <w:r>
        <w:t>An administrator asked to add a new subsidiary under Morise Holdings Limited with a grain-milling concept, based on the client attachment 'Software Development Features for a Milling Company'.</w:t>
      </w:r>
    </w:p>
    <w:p>
      <w:pPr>
        <w:pStyle w:val="BodyText"/>
      </w:pPr>
      <w:r>
        <w:t>Morise Milling Ltd is seeded as a wholly-owned (100%) subsidiary (company id a1000000-0000-4000-8000-000000000007): six mill sites / branches (Kampala Head Office &amp; Central Mill, Jinja Wheat &amp; Maize Mill, Masindi Maize Mill, Mbale Millet &amp; Sorghum Mill, Lira Grain Mill &amp; Silos, Kampala Distribution Depot); twelve departments, one per architecture module (Grain Procurement &amp; Weighbridge; Warehouse &amp; Inventory; Production &amp; Milling Lines; Machine &amp; Maintenance; Quality Assurance &amp; Control; Packaging; Sales &amp; Customer Management; Distribution &amp; Delivery; Finance &amp; Accounting; Human Resources &amp; Workforce; Procurement &amp; Supplier Management; IT, IoT &amp; Integrations); and six starter policies (Weighbridge Ticket Integrity, Grain Acceptance &amp; Moisture Limits, Milling Yield &amp; Loss Tolerance, Batch Traceability End to End, Preventive Maintenance Compliance, Food Safety &amp; Product Release). Only prisma/seed.ts changes - no code, schema or permission change; the Managing Director's create / update / delete / activate authority over subsidiaries was delivered earlier.</w:t>
      </w:r>
    </w:p>
    <w:p>
      <w:pPr>
        <w:pStyle w:val="BodyText"/>
      </w:pPr>
      <w:r>
        <w:t>The milling-specific system is a specification, not built. New doc 23 - Milling ERP &amp; Integrated Business Management System - Feature Specification - restates the attachment in the house format: twelve feature modules from grain procurement over a weighbridge through production and milling lines, machine maintenance, QA/QC, packaging, sales, distribution, finance and workforce to a management dashboard with IoT / PLC integration and end-to-end supplier-to-customer batch traceability; plus non-functional requirements, an architecture overview, an integration table, the fifteen recommended roles, a technology-stack table, the organisation as seeded, a five-phase delivery roadmap and a section on reuse of the existing MBMS modules (Suppliers, Inventory / Warehouse, Fleet, Delivery, Accounting, HR / Payroll, Alerts, Audit).</w:t>
      </w:r>
    </w:p>
    <w:p>
      <w:pPr>
        <w:pStyle w:val="BodyText"/>
      </w:pPr>
      <w:r>
        <w:t>The storefront's public site lists Morise Milling Ltd in the Companies directory (SUBSIDIARY_META entry, a new subsidiary-milling.svg banner added to the brand family and mirrored into both apps, and a News item). Group figures become six subsidiaries and twenty-six sites / branches. Verified against the running system: the company, its 6 branches, 12 departments and 6 policies are returned by the /organization API and are manageable by the Managing Director; admin and storefront builds are clean.</w:t>
      </w:r>
    </w:p>
    <w:p>
      <w:pPr>
        <w:pStyle w:val="Heading2"/>
      </w:pPr>
      <w:r>
        <w:t>Impact on this document</w:t>
      </w:r>
    </w:p>
    <w:p>
      <w:pPr>
        <w:pStyle w:val="BodyText"/>
      </w:pPr>
      <w:r>
        <w:t>Alpha - exploratory pass: the milling subsidiary appears in the admin Companies list and the storefront Companies directory; its departments and policies render; doc 23 opens and is complete.</w:t>
      </w:r>
    </w:p>
    <w:p>
      <w:pPr>
        <w:pStyle w:val="Heading1"/>
      </w:pPr>
      <w:r>
        <w:t>99. Implementation Status Update 94 (3 September 2026) — Automatic Morise e-Stamp on a Customer-Acknowledged Delivery</w:t>
      </w:r>
    </w:p>
    <w:p>
      <w:pPr>
        <w:pStyle w:val="BodyText"/>
      </w:pPr>
      <w:r>
        <w:t>Update 66 (recorded as a specification only) is now built: after a Morise delivery is completed, the customer confirms - through the customer portal - that they received the order's goods / services in good condition, and MBMS automatically places a Morise e-Stamp on the order's invoice.</w:t>
      </w:r>
    </w:p>
    <w:p>
      <w:pPr>
        <w:pStyle w:val="BodyText"/>
      </w:pPr>
      <w:r>
        <w:t>New endpoint POST /api/v1/customer-portal/orders/:id/delivery/acknowledge (customer JWT) with condition = good | damaged | incomplete | not_received and an optional note. It is allowed only once the order's delivery is `delivered`, and only once. A `good` acknowledgement, in one transaction, stamps the order's invoice - invoices.stamped_at, a unique invoices.stamp_number = MOR-ESTAMP-YYYY-NNNNNN, invoices.stamp_condition = 'good' (new nullable columns, migration 20260903180000_invoice_estamp_delivery_ack) - and logs a delivery event, an invoice.estamp.issued audit entry and a best-effort notification to the selling subsidiary's order team. A damaged / incomplete / not-received acknowledgement issues no stamp: it sets deliveries.exception_opened_at, logs the customer's report as a delivery event and raises a delivery.exception_opened audit entry and a staff notification. The delivery also records customer_ack_condition / customer_ack_at / customer_ack_note / customer_ack_by.</w:t>
      </w:r>
    </w:p>
    <w:p>
      <w:pPr>
        <w:pStyle w:val="BodyText"/>
      </w:pPr>
      <w:r>
        <w:t>The e-Stamp is shown on: the customer's delivery-tracking view (GET /customer-portal/orders/:id/delivery now returns canAcknowledge, the acknowledgement fields and, once stamped, the eStamp), the invoice list and detail (eStamped, stampNumber), and the downloaded invoice PDF - which now draws a navy / amber Morise seal (the Morise 'M' mark, 'MORISE e-STAMP', the stamp number and the confirmation wording) top-right. The staff DeliveryService.get also returns the stamp and acknowledgement fields.</w:t>
      </w:r>
    </w:p>
    <w:p>
      <w:pPr>
        <w:pStyle w:val="BodyText"/>
      </w:pPr>
      <w:r>
        <w:t>Storefront: the My Orders detail shows, for a completed delivery, a 'Did everything arrive in good condition?' panel - 'Yes, confirm receipt' (issues the e-Stamp) or 'Report a problem' (damaged / incomplete / not received + a note, opens a delivery exception); afterwards it shows the confirmation and the e-Stamp number, or the exception notice. The Invoices list shows a 'Morise e-Stamp' badge. Seed adds one completed delivery for a Highland Traders order awaiting confirmation, so the flow is demoable. Verified end to end against the running system: a `good` acknowledgement issued MOR-ESTAMP-2026-000001 on the invoice and rendered the seal on the PDF; the guards (not delivered -&gt; 409, already acknowledged -&gt; 409, no delivery -&gt; 404) and the damaged path (no stamp, exception opened) all behaved. nest build, storefront vite build and prisma migrate deploy all clean; openapi.json regenerated (368 paths / 468 operations). Supersedes the 'spec only - nothing built' status of Update 66.</w:t>
      </w:r>
    </w:p>
    <w:p>
      <w:pPr>
        <w:pStyle w:val="Heading2"/>
      </w:pPr>
      <w:r>
        <w:t>Impact on this document</w:t>
      </w:r>
    </w:p>
    <w:p>
      <w:pPr>
        <w:pStyle w:val="BodyText"/>
      </w:pPr>
      <w:r>
        <w:t>Alpha - exploratory pass over the acknowledgement panel: it appears only for a completed, unconfirmed delivery; the good path stamps and the problem path opens an exception; the Invoices list shows the e-Stamp badge.</w:t>
      </w:r>
    </w:p>
    <w:p>
      <w:pPr>
        <w:pStyle w:val="Heading1"/>
      </w:pPr>
      <w:r>
        <w:t>100. Implementation Status Update 95 (3 September 2026) — A Clear "Confirm Receipt" Button / Link for the Customer e-Stamp Confirmation</w:t>
      </w:r>
    </w:p>
    <w:p>
      <w:pPr>
        <w:pStyle w:val="BodyText"/>
      </w:pPr>
      <w:r>
        <w:t>Following Update 94 (the automatic Morise e-Stamp on a customer-acknowledged delivery), an administrator asked that the customer have a clear confirmation button / link - not just a panel buried in an order's detail.</w:t>
      </w:r>
    </w:p>
    <w:p>
      <w:pPr>
        <w:pStyle w:val="BodyText"/>
      </w:pPr>
      <w:r>
        <w:t>New read GET /api/v1/customer-portal/orders/awaiting-confirmation (customer JWT) returns the customer's own orders with a completed delivery they have not yet confirmed (orderId, orderNumber, deliveryNumber, deliveredAt, companyName). The dashboard summary (GET /customer-portal/dashboard-summary) gains deliveriesToConfirm and firstDeliveryToConfirmOrderId. No schema change, no new permission.</w:t>
      </w:r>
    </w:p>
    <w:p>
      <w:pPr>
        <w:pStyle w:val="BodyText"/>
      </w:pPr>
      <w:r>
        <w:t>Storefront: a dedicated confirmation page at /orders/:id/confirm - a shareable URL that shows the order and delivery summary and a prominent 'Confirm - received in good condition' button plus a 'Report a problem' form (damaged / incomplete / not received + note); on a good confirmation it shows the Morise e-Stamp number and a 'Download stamped invoice' link, on a problem the exception notice. The My Orders list marks each order awaiting confirmation with a 'Confirm receipt -&gt;' link to that page, and the Home dashboard shows a prompt card ('You have N deliveries awaiting your confirmation' + 'Confirm now').</w:t>
      </w:r>
    </w:p>
    <w:p>
      <w:pPr>
        <w:pStyle w:val="BodyText"/>
      </w:pPr>
      <w:r>
        <w:t>The Update 94 acknowledge endpoint, the automatic e-Stamp and the in-detail panel are unchanged. Verified end to end against the running system: awaiting-confirmation and the dashboard count move 1 -&gt; 2 -&gt; 1 as a delivery is completed and then confirmed; the confirmation page issues the e-Stamp. nest build and storefront vite build clean; openapi.json regenerated (369 paths / 469 operations).</w:t>
      </w:r>
    </w:p>
    <w:p>
      <w:pPr>
        <w:pStyle w:val="Heading2"/>
      </w:pPr>
      <w:r>
        <w:t>Impact on this document</w:t>
      </w:r>
    </w:p>
    <w:p>
      <w:pPr>
        <w:pStyle w:val="BodyText"/>
      </w:pPr>
      <w:r>
        <w:t>Alpha - exploratory pass: the Home prompt, the Orders-row 'Confirm receipt -&gt;' link and the dedicated page all reach the same acknowledge action; the page handles the already-confirmed and no-delivery states.</w:t>
      </w:r>
    </w:p>
    <w:p>
      <w:pPr>
        <w:pStyle w:val="Heading1"/>
      </w:pPr>
      <w:r>
        <w:t>101. Implementation Status Update 96 (3 September 2026) — Confirm-Receipt Button Driven by the Order's Delivered Status</w:t>
      </w:r>
    </w:p>
    <w:p>
      <w:pPr>
        <w:pStyle w:val="BodyText"/>
      </w:pPr>
      <w:r>
        <w:t>An administrator asked that the customer's 'Confirm receipt' button be driven by the order's status: once admin staff mark the order delivered, the button appears in My Orders, and the customer clicks it to attest the goods / services arrived in good condition - which is what generates the automatic Morise e-Stamp. A Morise Logistics delivery record is no longer required.</w:t>
      </w:r>
    </w:p>
    <w:p>
      <w:pPr>
        <w:pStyle w:val="BodyText"/>
      </w:pPr>
      <w:r>
        <w:t>The Order gains delivered_at (stamped when an administrator advances the order to `delivered`, or a Morise Logistics delivery completes) and customer_receipt_confirmed_at / customer_receipt_condition / customer_receipt_note (migration 20260903200000_order_customer_receipt, which back-fills delivered_at for orders already delivered). GET /api/v1/customer-portal/orders and .../:id now return deliveredAt, the receipt fields and canConfirmReceipt (order.status === 'delivered' AND not yet confirmed), plus eStamped / stampNumber on the invoice sub-object.</w:t>
      </w:r>
    </w:p>
    <w:p>
      <w:pPr>
        <w:pStyle w:val="BodyText"/>
      </w:pPr>
      <w:r>
        <w:t>POST /api/v1/customer-portal/orders/:id/delivery/acknowledge is now order-driven: it is allowed once the order is `delivered` and only once, regardless of whether a delivery record exists. A `good` confirmation records the receipt on the order and auto-stamps the order's invoice (MOR-ESTAMP-YYYY-NNNNNN); any other condition records a dispute (no stamp). When a Morise Logistics delivery record exists, the confirmation is mirrored onto it (its customer_ack_* fields + a delivery event). Audited as invoice.estamp.issued (good) or order.receipt.disputed (else) with a best-effort notification to the selling subsidiary's order team. GET /customer-portal/orders/awaiting-confirmation and the dashboard summary's deliveriesToConfirm now count delivered, unconfirmed orders.</w:t>
      </w:r>
    </w:p>
    <w:p>
      <w:pPr>
        <w:pStyle w:val="BodyText"/>
      </w:pPr>
      <w:r>
        <w:t>Storefront: the My Orders detail's 'Did everything arrive in good condition?' panel, the /orders/:id/confirm page and the 'Confirm receipt -&gt;' row link are all driven by the order's delivered status and no longer need a delivery record. Seed marks delivered_at on every delivered order and pre-confirms + e-stamps the settled ones, leaving one order (ORD-2026-0001) still awaiting the customer's confirmation. Verified end to end against the running system: staff advanced an order to delivered, the customer confirmed 'damaged' (dispute, no stamp) and 'good' (e-Stamp issued, mirrored onto the delivery record where present); the guards (not delivered -&gt; 409, already confirmed -&gt; 409) behaved. nest build, storefront vite build and prisma migrate deploy all clean; openapi.json unchanged at 369 paths / 469 operations.</w:t>
      </w:r>
    </w:p>
    <w:p>
      <w:pPr>
        <w:pStyle w:val="Heading2"/>
      </w:pPr>
      <w:r>
        <w:t>Impact on this document</w:t>
      </w:r>
    </w:p>
    <w:p>
      <w:pPr>
        <w:pStyle w:val="BodyText"/>
      </w:pPr>
      <w:r>
        <w:t>Alpha - exploratory pass: the button appears for every delivered, unconfirmed order (delivery record or not); the good and problem paths behave; confirmed orders show the outcome banner.</w:t>
      </w:r>
    </w:p>
    <w:p>
      <w:pPr>
        <w:pStyle w:val="Heading1"/>
      </w:pPr>
      <w:r>
        <w:t>102. Implementation Status Update 97 (3 September 2026) — Social Media Publishing — Composer, Publishing Engine &amp; Status Dashboard (New Doc 24)</w:t>
      </w:r>
    </w:p>
    <w:p>
      <w:pPr>
        <w:pStyle w:val="BodyText"/>
      </w:pPr>
      <w:r>
        <w:t>An administrator asked for a mini Buffer / Hootsuite inside MBMS: write one master post, fan it out to many social media channels in one click with per-platform caption overrides, publish now or schedule, and see per-platform success / failure. The architecture plan the administrator supplied - the three layers, the seven feature areas, and the 2026 cost / access reality for X, Meta, LinkedIn and TikTok - is restated in the house format in the new doc 24.</w:t>
      </w:r>
    </w:p>
    <w:p>
      <w:pPr>
        <w:pStyle w:val="BodyText"/>
      </w:pPr>
      <w:r>
        <w:t>A new module (src/social-publishing) exposes /api/v1/social. Schema (migration 20260903220000_social_publishing): social_connections (a simulated OAuth connection per platform - status, account label, a ~60-day token expiry, a placeholder token reference; no real handshake), social_posts (master body, media type + text-reference url, link, status draft / scheduled / publishing / published / partially_failed / failed, scheduledFor) and social_post_targets (one row per platform per post - caption override, status pending / publishing / success / failed / skipped, external id + permalink, error, attempts). Three new governance-domain permissions: social.post.manage (draft / edit / delete, connect / disconnect channels), social.post.publish (fan-out, retry, run the schedule) and social.post.viewAll (composer + posts + dashboard) - the 'can create drafts vs can publish' split.</w:t>
      </w:r>
    </w:p>
    <w:p>
      <w:pPr>
        <w:pStyle w:val="BodyText"/>
      </w:pPr>
      <w:r>
        <w:t>Endpoints: GET /social/platforms (the nine channels with connection state + character limits + media rules), POST /social/platforms/:platform/{connect,disconnect}; GET / POST /social/posts, GET / PATCH / DELETE /social/posts/:id (get returns a per-platform preview - effective caption, character count vs limit, truncation / media / not-connected warnings); POST /social/posts/:id/publish (the single button - fans the post out to every target and computes per-platform success or failure), POST /social/posts/:id/retry (failed targets only), POST /social/run-scheduled (fire due scheduled posts - a stand-in for the cron worker); GET /social/dashboard. Every mutation is audited (social.post.* / social.connection.*).</w:t>
      </w:r>
    </w:p>
    <w:p>
      <w:pPr>
        <w:pStyle w:val="BodyText"/>
      </w:pPr>
      <w:r>
        <w:t>The publish itself is SIMULATED - dispatchOne() enforces the platform's own rules (character limit, media requirement, connection state) and mints a fake permalink on success, rather than calling a real platform API; there is no OAuth handshake or job queue in this build (the same deferred external integration already recorded for Kafka, object storage and email / SMS). The shape a genuine integration slots into is real: a connection per platform, one target row per platform with its own status / external id / error, a fan-out step with partial failure and retry, and a status dashboard. Admin gains a Social Publishing screen under ADMIN / BACKEND (four tabs: Compose with live per-channel preview and caption overrides, Posts with per-platform outcome + retry, Channels connect / disconnect, Dashboard). Seed connects four channels and adds a published post, a draft and a scheduled post. Verified end to end against the running system: a post fanned out with a partial failure (Instagram rejected - no media), a retry after adding media published it, disconnecting a channel failed its target, run-scheduled fired a due post, and the drafts-vs-publish permission split held (Sales Manager 403 on publish). nest build, admin vite build and prisma migrate deploy all clean; openapi.json regenerated (378 paths / 481 operations).</w:t>
      </w:r>
    </w:p>
    <w:p>
      <w:pPr>
        <w:pStyle w:val="Heading2"/>
      </w:pPr>
      <w:r>
        <w:t>Impact on this document</w:t>
      </w:r>
    </w:p>
    <w:p>
      <w:pPr>
        <w:pStyle w:val="BodyText"/>
      </w:pPr>
      <w:r>
        <w:t>Alpha - exploratory pass over the four tabs: the composer preview / overrides, the posts list + per-channel outcome + retry, connect / disconnect, the dashboard tiles and Run scheduled; permission gating per role.</w:t>
      </w:r>
    </w:p>
    <w:p>
      <w:pPr>
        <w:pStyle w:val="Heading1"/>
      </w:pPr>
      <w:r>
        <w:t>103. Implementation Status Update 98 (8 September 2026) — Product Catalogue for Morise Milling Ltd + Branch-Tagged Product Registration (Doc 23)</w:t>
      </w:r>
    </w:p>
    <w:p>
      <w:pPr>
        <w:pStyle w:val="BodyText"/>
      </w:pPr>
      <w:r>
        <w:t>An administrator asked to add products to Morise Milling Ltd. Morise Milling Ltd was seeded as the group's sixth wholly-owned subsidiary in Update 93 (3 September 2026) with six mill sites and twelve departments but zero products — it was spec-stage only. This update gives it its first product catalogue and, at the same time, generalises product registration in the Admin app so any multi-site subsidiary's products can be tagged to the branch/site that produces them, not just company-wide.</w:t>
      </w:r>
    </w:p>
    <w:p>
      <w:pPr>
        <w:pStyle w:val="BodyText"/>
      </w:pPr>
      <w:r>
        <w:t>prisma/seed.ts gains a Morise Milling Ltd product-catalogue block (ensureMillProduct helper, 7 new categories): 24 SKUs — 15 priced finished goods and services (maize, wheat, and millet/sorghum flour lines across 4 pack sizes; maize bran, wheat bran/pollard, maize germ and a compounded dairy meal as by-products; toll milling, grain cleaning/drying, silo storage and grain grading/moisture testing as services) plus 5 finished-goods lines and 4 internal-only items (raw maize/wheat/millet grain intake, printed bag and retail-pack packaging) that are seeded with no unitPrice on purpose — CustomerCatalogService only lists priced products, so raw materials and packaging stay off the customer storefront while Admin Inventory still tracks them. Batch tracking (trackBatches) and min/max stock levels are set per docx/23 section 2.2 (raw-material / finished-goods / packaging warehouses, FIFO-FEFO, min-max levels) and sections 2.5-2.6 (batch numbers, expiry / best-before, end-to-end batch traceability). Each item is attributed to the mill or depot that produces or holds it (Masindi for maize, Jinja for wheat, Mbale for millet/sorghum, Lira for grain intake and toll-milling services, the Kampala depot for retail packs and packaging).</w:t>
      </w:r>
    </w:p>
    <w:p>
      <w:pPr>
        <w:pStyle w:val="BodyText"/>
      </w:pPr>
      <w:r>
        <w:t>Product.branchId already existed on the schema (29 August 2026, storefront group catalogue), but only the seed could set it — a product registered through the Admin screen was always company-wide. CreateProductDto and UpdateProductDto (mbms/backend/src/products/dto/product.dto.ts) both gain an optional branchId; ProductsService.assertReferencesBelongTo validates on create and update that both the category and the branch belong to the product's own companyId, and every product read (list, get, create, update) now includes and returns companyName and branchName so an Admin list spanning several subsidiaries reads clearly.</w:t>
      </w:r>
    </w:p>
    <w:p>
      <w:pPr>
        <w:pStyle w:val="BodyText"/>
      </w:pPr>
      <w:r>
        <w:t>The Admin Products screen (mbms/frontend/src/pages/Products.jsx) is rebuilt on top of this: a subsidiary filter above the list, Company / Branch / Category / Stock / a per-row Edit action added to the table, and the New Product form replaced with Company and Branch dropdowns (previously a bare company-UUID text field and a "Load Categories" button) that only offer that company's own categories and branches. A new Edit Product modal exposes the PATCH /products/:id endpoint (it has existed since Sprint 4 with no screen) so an administrator can correct a product's price, re-point it at another branch, or retire it without leaving the page. Verified end to end: reseeded and confirmed all 24 Morise Milling Ltd rows in Postgres with the correct branch attribution; nest build clean; openapi.json regenerated (378 paths / 481 operations / 188 schemas — unchanged, this update adds fields to an existing schema, no new path). The group catalogue is now 58 products across 25 categories (53 storefront-priced, 5 internal-only), and all six operating subsidiaries sell at least one product or service — Morise Milling Ltd was the last one still at zero.</w:t>
      </w:r>
    </w:p>
    <w:p>
      <w:pPr>
        <w:pStyle w:val="Heading2"/>
      </w:pPr>
      <w:r>
        <w:t>Impact on this document</w:t>
      </w:r>
    </w:p>
    <w:p>
      <w:pPr>
        <w:pStyle w:val="BodyText"/>
      </w:pPr>
      <w:r>
        <w:t>Alpha - exercised the create/edit round trip against Morise Milling Ltd's six branches and seven new categories, including the cross-company category/branch rejection enforced by assertReferencesBelongTo.</w:t>
      </w:r>
    </w:p>
    <w:p>
      <w:pPr>
        <w:pStyle w:val="Heading1"/>
      </w:pPr>
      <w:r>
        <w:t>104. Implementation Status Update 99 (9 September 2026) — Morise Research &amp; Consultancy Ltd — Seventh Subsidiary + RC-MIS Specification (New Doc 25)</w:t>
      </w:r>
    </w:p>
    <w:p>
      <w:pPr>
        <w:pStyle w:val="BodyText"/>
      </w:pPr>
      <w:r>
        <w:t>An administrator asked to add a subsidiary for research and other types of consultancy, based on the client attachment docx/Research_and_Consultancy_Software_Development_Features.docx. Morise Research &amp; Consultancy Ltd is seeded as the group's seventh wholly-owned (100%) subsidiary (company id a1000000-0000-4000-8000-000000000008), registered at Plot 7, Acacia Avenue, Kololo, Kampala, currency UGX, financial year starting 1 January 2026 — created and managed by the Managing Director under the existing subsidiary-lifecycle capability (Update 34), the same way as every prior subsidiary.</w:t>
      </w:r>
    </w:p>
    <w:p>
      <w:pPr>
        <w:pStyle w:val="BodyText"/>
      </w:pPr>
      <w:r>
        <w:t>Five sites/branches (ids b1...0050-0054): Kampala Head Office, and four regional field offices — Gulu (Northern), Mbale (Eastern), Mbarara (Western) and a Karamoja Field Station (Moroto) — reflecting the client attachment's emphasis on geographic coverage and target-population reach for fieldwork. Twelve departments (ids d1...0080-0091) condense the client's fourteen-node RC-MIS architecture into standing organisational units: Client &amp; Business Development; Contracts &amp; Grants Management; Research Design &amp; Methodology; Field Operations &amp; Data Collection; Data Quality &amp; Management; Data Analysis &amp; Qualitative Research; Monitoring &amp; Evaluation; Reports, Deliverables &amp; Knowledge Management; Ethics &amp; Compliance; Finance, Procurement &amp; Subcontracting; Human Resources &amp; Consultant Management; IT, Client Portal &amp; Systems. Six starter policies (ids p1...0050-0055): Research Ethics &amp; Informed Consent, Data Protection &amp; Participant Confidentiality, Fieldwork Safety &amp; Security, Data Quality Assurance, Consultant &amp; Enumerator Conflict of Interest, and Contract, Grant &amp; Proposal Compliance.</w:t>
      </w:r>
    </w:p>
    <w:p>
      <w:pPr>
        <w:pStyle w:val="BodyText"/>
      </w:pPr>
      <w:r>
        <w:t>Like every subsidiary before its first feature build, only the organisation is seeded — seed.ts only, no code, schema or permission change. The subsidiary is not a storefront seller (0 products); a research and consultancy firm is billed on contracts, retainers and timesheets, not a priced catalogue, so it does not get a products pass the way Milling did. The RC-MIS itself (fourteen modules: CRM, Proposals &amp; Tenders, Contracts &amp; Grants, Research Projects, Field Data Collection, Data Quality &amp; Analysis, Monitoring &amp; Evaluation, Reports &amp; Deliverables, Knowledge &amp; Documents, Consultants &amp; HR, Finance &amp; Procurement, Risk &amp; Compliance, Client Portal, Management Analytics) is a specification, not built: new docx/25 restates the client attachment in the house documentation format used for docs 19-24, covering the fourteen modules, non-functional requirements, architecture, key integration points, user roles, suggested technology stack, the organisation as built above, a five-phase delivery roadmap, and how it would relate to and reuse the existing MBMS platform.</w:t>
      </w:r>
    </w:p>
    <w:p>
      <w:pPr>
        <w:pStyle w:val="BodyText"/>
      </w:pPr>
      <w:r>
        <w:t>The storefront's corporate site picks up the new subsidiary automatically from GET /customer-portal/public/overview (group now 7 subsidiaries, 31 sites/branches); mbms/storefront/src/lib/corporate.js gains a SUBSIDIARY_META entry, a SUBSIDIARY_BANNER entry and a News item for it. A new brand/banners/subsidiary-research-consultancy.svg (indigo accent; bar-chart-and-magnifying-glass motif — the group's first new subsidiary accent colour since Milling reused the base amber) is mirrored into both apps' public/brand/banners/ and added to brand/README.md's banner table. Verified end to end against the running system: the new company, its 5 branches, 12 departments and 6 policies confirmed in Postgres and via the authenticated Admin organisation API; the public overview endpoint lists it with its branch count; both banner assets resolve at /brand/banners/subsidiary-research-consultancy.svg on the Admin app and the Customer Storefront. No new endpoint, migration or permission; openapi.json unchanged.</w:t>
      </w:r>
    </w:p>
    <w:p>
      <w:pPr>
        <w:pStyle w:val="Heading2"/>
      </w:pPr>
      <w:r>
        <w:t>Impact on this document</w:t>
      </w:r>
    </w:p>
    <w:p>
      <w:pPr>
        <w:pStyle w:val="BodyText"/>
      </w:pPr>
      <w:r>
        <w:t>Alpha - exercised subsidiary creation via the seed against the existing subsidiary-lifecycle capability; no new code path to test beyond what Update 34 already covers.</w:t>
      </w:r>
    </w:p>
    <w:p>
      <w:pPr>
        <w:pStyle w:val="Heading1"/>
      </w:pPr>
      <w:r>
        <w:t>105. Implementation Status Update 100 (9 September 2026) — Services Catalogue for Morise Research &amp; Consultancy Ltd (Doc 25)</w:t>
      </w:r>
    </w:p>
    <w:p>
      <w:pPr>
        <w:pStyle w:val="BodyText"/>
      </w:pPr>
      <w:r>
        <w:t>An administrator asked to add products to Morise Research &amp; Consultancy Ltd. Morise Research &amp; Consultancy Ltd was seeded as the group's seventh subsidiary in Update 99 (9 September 2026) with five field offices and twelve departments but zero products — spec-stage only, on the reasoning that a consultancy is billed on contracts and timesheets. Like Morise Collateral Management Ltd (Update 60), which is also billed on contracts and retainers, the subsidiary can still carry a priced services catalogue representing its standard, quotable engagements; this update seeds that first catalogue.</w:t>
      </w:r>
    </w:p>
    <w:p>
      <w:pPr>
        <w:pStyle w:val="BodyText"/>
      </w:pPr>
      <w:r>
        <w:t>prisma/seed.ts gains a Morise Research &amp; Consultancy Ltd services block (reusing the ensureService() helper already used for the Collateral Management catalogue): 23 services (RC-7001 through RC-7051) across 6 new categories — Research &amp; Evaluation Studies (baseline, midline/endline, impact assessment, feasibility, market research, needs assessment), Field Data Collection (quantitative survey enumeration, qualitative FGDs/KIIs, mobile/offline data-collection setup, enumerator recruitment &amp; training), Data Management &amp; Analysis (data cleaning, statistical analysis, qualitative coding, dashboard setup), Monitoring &amp; Evaluation Services (M&amp;E framework design, indicator-tracking-system setup, ongoing M&amp;E support), Technical &amp; Policy Consultancy (policy advisory, institutional capacity assessment, strategic planning facilitation, a senior-researcher day rate) and Training &amp; Capacity Building (research-methods and M&amp;E workshops). Every line is productType 'service', priced in UGX per the standard unit a client's statement of work would quote against (per study, per session, per dataset, per day), and every line carries a unitPrice, so — unlike Morise Milling Ltd's internal raw-material items — the whole catalogue is storefront-visible.</w:t>
      </w:r>
    </w:p>
    <w:p>
      <w:pPr>
        <w:pStyle w:val="BodyText"/>
      </w:pPr>
      <w:r>
        <w:t>Each service is attributed to the office best placed to deliver it: study design, analysis, policy advisory and the day-rate line sit at the Kampala Head Office; fieldwork-heavy lines (household-survey enumeration, focus groups, enumerator training, a needs assessment, ongoing M&amp;E support, the two training workshops) are spread across the Gulu, Mbale, Mbarara and Karamoja field offices to reflect where that work actually happens. No schema, code or permission change — seed.ts only, reusing the existing ensureService()/ensureCategory() helpers and Product model exactly as every prior services catalogue (Logistics, Clearing &amp; Forwarding, Warehouse Management, Collateral Management) did.</w:t>
      </w:r>
    </w:p>
    <w:p>
      <w:pPr>
        <w:pStyle w:val="BodyText"/>
      </w:pPr>
      <w:r>
        <w:t>Verified end to end against the running system: reseeded, all 23 rows confirmed in Postgres with correct branch and category attribution; the Admin Products screen, filtered to Morise Research &amp; Consultancy Ltd, lists all 23 services with correct company/branch/category/price/stock columns (screenshot-verified, no console errors); nest build clean; openapi.json regenerated byte-identical (378 paths / 481 operations / 188 schemas — no new endpoint or field). Group catalogue now 81 products across 31 categories (76 storefront-priced, 5 internal-only); all seven operating subsidiaries now sell at least one product or service.</w:t>
      </w:r>
    </w:p>
    <w:p>
      <w:pPr>
        <w:pStyle w:val="Heading2"/>
      </w:pPr>
      <w:r>
        <w:t>Impact on this document</w:t>
      </w:r>
    </w:p>
    <w:p>
      <w:pPr>
        <w:pStyle w:val="BodyText"/>
      </w:pPr>
      <w:r>
        <w:t>Alpha - exercised the same seed → list → filter path already proven for Morise Milling Ltd's catalogue, against a seventh subsidiary.</w:t>
      </w:r>
    </w:p>
    <w:p>
      <w:pPr>
        <w:pStyle w:val="Heading1"/>
      </w:pPr>
      <w:r>
        <w:t>106. Implementation Status Update 101 (9 September 2026) — Dockerized Backend, Admin App and Customer Storefront</w:t>
      </w:r>
    </w:p>
    <w:p>
      <w:pPr>
        <w:pStyle w:val="BodyText"/>
      </w:pPr>
      <w:r>
        <w:t>An administrator asked to dockerize the backend, the Admin app and the Customer Storefront. Until now only Postgres and Redis ran as containers (mbms/docker-compose.yml); the three application services ran natively (nest build + node dist/main.js for the backend, npm run dev / Vite for each frontend). This update adds a Dockerfile for each of the three, wires them into docker-compose.yml alongside Postgres and Redis, and verifies the whole stack end to end.</w:t>
      </w:r>
    </w:p>
    <w:p>
      <w:pPr>
        <w:pStyle w:val="BodyText"/>
      </w:pPr>
      <w:r>
        <w:t>backend/Dockerfile is a two-stage build on node:20-bookworm-slim (deliberately not Alpine) for both stages: npm ci, prisma generate, then npm run build — which runs nest build, not a bare tsc, so the @nestjs/swagger CLI plugin still populates the OpenAPI document's request/response schemas exactly as it does outside Docker. The runtime stage copies over only the compiled dist/, the already-generated Prisma Client, and production node_modules (npm ci --omit=dev), then runs node dist/main.js. Both stages install openssl and ca-certificates explicitly — Prisma's own documented fix for a libssl-detection warning on the bare -slim image. Using the same glibc-based Debian image for both the build and runtime stages avoids the well-known 'Query Engine could not be found' failure that mixing an Alpine (musl-libc) build with a glibc runtime, or vice versa, can cause.</w:t>
      </w:r>
    </w:p>
    <w:p>
      <w:pPr>
        <w:pStyle w:val="BodyText"/>
      </w:pPr>
      <w:r>
        <w:t>frontend/Dockerfile and storefront/Dockerfile follow a matching two-stage pattern on node:20-alpine (build) and nginx:1.27-alpine (runtime): npm run build produces a static Vite bundle, and a bundled nginx.conf reverse-proxies /api/* to the backend container by its Compose service name — the same relationship vite.config.js's dev-server proxy gives each app locally, so the existing fetch('/api/v1/...') calls need no code change and no CORS configuration either way. A try_files fallback to index.html handles client-side routing so a deep link or a page reload on a route like /companies still resolves.</w:t>
      </w:r>
    </w:p>
    <w:p>
      <w:pPr>
        <w:pStyle w:val="BodyText"/>
      </w:pPr>
      <w:r>
        <w:t>docker-compose.yml gains backend, frontend and storefront services: backend waits on a new Postgres healthcheck (pg_isready) before starting and gets its DATABASE_URL/PORT overridden to the in-network Postgres host and internal port (the rest of its configuration still comes from backend/.env via env_file); frontend and storefront are exposed on the same host ports their Vite dev servers already used (5173 / 5174) so the URLs are unchanged whether the stack is run natively or dockerized. Migrations and seeding are deliberately still run from the host (npx prisma migrate deploy &amp;&amp; npx prisma db seed against the same containerized Postgres) rather than inside the container, since the runtime image omits the prisma CLI and ts-node to stay small — this was already the workflow before the backend itself was containerized, and is unchanged now.</w:t>
      </w:r>
    </w:p>
    <w:p>
      <w:pPr>
        <w:pStyle w:val="BodyText"/>
      </w:pPr>
      <w:r>
        <w:t>Verified end to end: all three images build clean; docker compose up -d --build brings up all five containers, backend reporting healthy against Postgres's Compose healthcheck; existing seeded data (8 companies, 81 products) survived a Postgres container recreate because it lives in the mbms_pg_data named volume, not in the container itself; a staff login through the dockerized Admin app and a page load of the dockerized Customer Storefront both succeeded with the request round-tripping through nginx to the backend container and back, with zero browser console errors on either app (screenshot-verified). No schema, endpoint or permission change; openapi.json unchanged.</w:t>
      </w:r>
    </w:p>
    <w:p>
      <w:pPr>
        <w:pStyle w:val="Heading2"/>
      </w:pPr>
      <w:r>
        <w:t>Impact on this document</w:t>
      </w:r>
    </w:p>
    <w:p>
      <w:pPr>
        <w:pStyle w:val="BodyText"/>
      </w:pPr>
      <w:r>
        <w:t>Alpha - exercised the build -&gt; up -&gt; login -&gt; browse path for all three new images against the existing seeded dataset.</w:t>
      </w:r>
    </w:p>
    <w:p>
      <w:pPr>
        <w:pStyle w:val="Heading1"/>
      </w:pPr>
      <w:r>
        <w:t>107. Implementation Status Update 102 (9 September 2026) — Storefront Language Set Scoped to 9 Official Languages</w:t>
      </w:r>
    </w:p>
    <w:p>
      <w:pPr>
        <w:pStyle w:val="BodyText"/>
      </w:pPr>
      <w:r>
        <w:t>An administrator asked for the Customer Storefront to be localised and globalised into a specific, named set of languages, grouped exactly as given: Uganda — Official/Global (English), Uganda — Official/Africa (Kiswahili), Uganda — Bantu (Luganda), Africa (Arabic), Europe (German, French, Spanish, Italian), and The Americas (Portuguese).</w:t>
      </w:r>
    </w:p>
    <w:p>
      <w:pPr>
        <w:pStyle w:val="BodyText"/>
      </w:pPr>
      <w:r>
        <w:t>These 9 languages were already shipped fully translated across Updates 29–31 (framework, full key catalogue, database content localisation), inside a much larger 43-language aspirational list added in Update 30 — 34 English-fallback placeholder languages plus two partially-translated regional languages (Runyankole, Acholi). mbms/storefront/src/locales/index.js's LANGUAGE_LIST and LOCALES are now scoped to exactly these 9 official languages, retiring the placeholder and partial entries; every remaining language ships a complete translation, so the picker's “English for now” caveat no longer applies to any option, and TRANSLATED_LANGS now equals FULLY_TRANSLATED_LANGS. The picker's region groups match the administrator's naming exactly.</w:t>
      </w:r>
    </w:p>
    <w:p>
      <w:pPr>
        <w:pStyle w:val="BodyText"/>
      </w:pPr>
      <w:r>
        <w:t>Database content localisation (glossary + TranslationProvider seam, Update 32), currency/figure localisation (lib/format.js's CURRENCY_BY_LANG / LOCALE_TAG, Update 33) and digit transliteration already covered exactly this 9-language set and needed no change. No backend, schema, endpoint or permission change — a front-end scope change to an existing feature. Verified end to end: vite build clean (74 modules); the language picker shows exactly 9 options across the administrator's 6 named region groups, all rendering the full storefront (not an English fallback).</w:t>
      </w:r>
    </w:p>
    <w:p>
      <w:pPr>
        <w:pStyle w:val="Heading2"/>
      </w:pPr>
      <w:r>
        <w:t>Impact on this document</w:t>
      </w:r>
    </w:p>
    <w:p>
      <w:pPr>
        <w:pStyle w:val="BodyText"/>
      </w:pPr>
      <w:r>
        <w:t>Alpha — exploratory pass: confirm every one of the 9 languages renders the full storefront correctly, in both left-to-right and Arabic's right-to-left.</w:t>
      </w:r>
    </w:p>
    <w:p>
      <w:pPr>
        <w:pStyle w:val="Heading1"/>
      </w:pPr>
      <w:r>
        <w:t>108. Implementation Status Update 103 (9 September 2026) — Every Non-English Official Language Reaches 100% Key Parity</w:t>
      </w:r>
    </w:p>
    <w:p>
      <w:pPr>
        <w:pStyle w:val="BodyText"/>
      </w:pPr>
      <w:r>
        <w:t>An administrator clarified Update 102's scope: every word on the Customer Storefront — apart from proper nouns such as “Morise Holdings” and a subsidiary's own name — must change with the chosen language, for all 9 official languages.</w:t>
      </w:r>
    </w:p>
    <w:p>
      <w:pPr>
        <w:pStyle w:val="BodyText"/>
      </w:pPr>
      <w:r>
        <w:t>Auditing mbms/storefront/src/locales/en.js (the 528-key complete catalogue) against each translated table found the same 66 keys missing from every one of the 8 non-English languages (fr/es/pt/de/it in eu.js; sw/lg/ar in regional.js) — 462/528 = 87.5% coverage across the board. The gap was entirely features added after the original translation passes and never backfilled: the group-storefront / subsidiary-directory keys (Update 48) and the delivery-confirmation / Morise e-Stamp keys (Updates 94-96) existed only in English.</w:t>
      </w:r>
    </w:p>
    <w:p>
      <w:pPr>
        <w:pStyle w:val="BodyText"/>
      </w:pPr>
      <w:r>
        <w:t>All 66 keys are now translated into all 8 languages (528 new key/value pairs total), reusing the terminology each language already established elsewhere in the catalogue (e.g. French succursale / German Filiale for “branch” vs. French filiale / German Tochtergesellschaft for “subsidiary”, matching the existing corp.whollyOwned wording; Swahili Kampuni / Luganda Kkampuni / Arabic الشركة for “company”, matching account.companyName). “Morise e-Stamp” and company/subsidiary proper nouns are kept untranslated. Every language now carries 528/528 keys — 100% parity with English.</w:t>
      </w:r>
    </w:p>
    <w:p>
      <w:pPr>
        <w:pStyle w:val="BodyText"/>
      </w:pPr>
      <w:r>
        <w:t>A source scan for hard-coded JSX text bypassing the t() catalogue (capitalised text nodes and placeholder/aria-label/title/alt attributes across src/pages and src/components) found nothing outstanding beyond the “MORISE” wordmark in the corporate header logo and one example person-name placeholder — both proper nouns, exempt by the administrator's own instruction. No backend, schema, endpoint or permission change — a locale-data-only change. Verified end to end: vite build clean (74 modules); the dockerized storefront container was rebuilt and redeployed, and the live built bundle was checked directly (curl against the built assets/index-*.js) to confirm the new strings actually ship.</w:t>
      </w:r>
    </w:p>
    <w:p>
      <w:pPr>
        <w:pStyle w:val="Heading2"/>
      </w:pPr>
      <w:r>
        <w:t>Impact on this document</w:t>
      </w:r>
    </w:p>
    <w:p>
      <w:pPr>
        <w:pStyle w:val="BodyText"/>
      </w:pPr>
      <w:r>
        <w:t>Alpha — exploratory pass: confirm the group-storefront, subsidiary-directory and delivery-confirmation screens render fully translated text in each of the 8 non-English languages.</w:t>
      </w:r>
    </w:p>
    <w:p>
      <w:pPr>
        <w:pStyle w:val="Heading1"/>
      </w:pPr>
      <w:r>
        <w:t>109. Implementation Status Update 104 (9 September 2026) — Admin App and Customer Storefront Connected to Netlify</w:t>
      </w:r>
    </w:p>
    <w:p>
      <w:pPr>
        <w:pStyle w:val="BodyText"/>
      </w:pPr>
      <w:r>
        <w:t>An administrator asked to connect the project to Netlify. Netlify hosts static sites and serverless functions only — it cannot run the stateful NestJS backend (+ Postgres/Redis) that both front-end apps depend on for every API call, so this connects the two static, front-end-only apps; the backend stays wherever it is already reachable (locally / Docker for now). This is an explicit, agreed trade-off ("wire up Netlify now, backend later") — both deployed apps' /api/v1/* calls fail until the backend has a public URL.</w:t>
      </w:r>
    </w:p>
    <w:p>
      <w:pPr>
        <w:pStyle w:val="BodyText"/>
      </w:pPr>
      <w:r>
        <w:t>Two Netlify sites were created via the Netlify CLI (obekegodfrey3@gmail.com account, team obekegodfrey3's team), each linked to its own subdirectory of this monorepo: morise-storefront (https://morise-storefront.netlify.app) to mbms/storefront; morise-admin (https://morise-admin.netlify.app) to mbms/frontend. A new netlify.toml in each app directory sets the build command (npm run build), the publish directory (dist), a SPA catch-all redirect so react-router-dom's client-side routes survive a hard refresh or direct link (verified: a deep route on each site returns 200, not a Netlify 404), and a commented-out /api/* proxy redirect to the backend, ready to uncomment once it has a public URL — positioned above the catch-all, since Netlify evaluates [[redirects]] blocks in file order.</w:t>
      </w:r>
    </w:p>
    <w:p>
      <w:pPr>
        <w:pStyle w:val="BodyText"/>
      </w:pPr>
      <w:r>
        <w:t>No application code changed: both apps already call the backend at relative /api/v1/* paths (src/lib/api.js), the same paths each app's Dockerfile nginx.conf already reverse-proxies locally, so the Netlify redirect is the natural production equivalent once a backend URL exists. Each site was built and given an initial manual production deploy (netlify deploy --prod --dir=dist), verified live with curl (root and a deep route on each site, both 200).</w:t>
      </w:r>
    </w:p>
    <w:p>
      <w:pPr>
        <w:pStyle w:val="BodyText"/>
      </w:pPr>
      <w:r>
        <w:t>Continuous deployment from GitHub pushes was deliberately not set up — linking a Netlify site to a Git repository for auto-deploys requires installing the Netlify GitHub App, a one-time authorisation only the repository owner can grant by clicking through Netlify's UI (Site configuration -&gt; Build &amp; deploy -&gt; Continuous deployment, connect obekegodfreyvicent/moriseholdings, set Base directory to mbms/storefront or mbms/frontend respectively). .gitignore gained a .netlify entry (auto-added by netlify link, which writes a machine-local linked-site-ID file correctly kept out of git). No backend, schema, endpoint or permission change.</w:t>
      </w:r>
    </w:p>
    <w:p>
      <w:pPr>
        <w:pStyle w:val="Heading2"/>
      </w:pPr>
      <w:r>
        <w:t>Impact on this document</w:t>
      </w:r>
    </w:p>
    <w:p>
      <w:pPr>
        <w:pStyle w:val="BodyText"/>
      </w:pPr>
      <w:r>
        <w:t>Alpha — exploratory pass: confirm both Netlify URLs load, route client-side correctly on a hard refresh, and fail gracefully (not with a broken page) on API calls given no public backend yet.</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36"/>
    </w:pPr>
    <w:rPr>
      <w:rFonts w:ascii="Calibri;Arial;sans-serif" w:hAnsi="Calibri;Arial;sans-serif" w:eastAsia="Calibri;Arial;sans-serif" w:cs="Calibri;Arial;sans-serif"/>
      <w:color w:val="1A1A1A"/>
      <w:sz w:val="22"/>
      <w:szCs w:val="22"/>
      <w:lang w:val="en-US" w:eastAsia="zh-CN" w:bidi="hi-IN"/>
    </w:rPr>
  </w:style>
  <w:style w:type="paragraph" w:styleId="Heading1">
    <w:name w:val="heading 1"/>
    <w:basedOn w:val="Heading"/>
    <w:next w:val="BodyText"/>
    <w:qFormat/>
    <w:pPr/>
    <w:rPr>
      <w:b/>
      <w:bCs/>
      <w:color w:val="1F3864"/>
      <w:sz w:val="40"/>
      <w:szCs w:val="40"/>
    </w:rPr>
  </w:style>
  <w:style w:type="paragraph" w:styleId="Heading2">
    <w:name w:val="heading 2"/>
    <w:basedOn w:val="Heading"/>
    <w:next w:val="BodyText"/>
    <w:qFormat/>
    <w:pPr>
      <w:pBdr>
        <w:bottom w:val="single" w:sz="2" w:space="2" w:color="1F3864"/>
      </w:pBdr>
      <w:spacing w:before="330" w:after="120"/>
      <w:outlineLvl w:val="1"/>
    </w:pPr>
    <w:rPr>
      <w:rFonts w:ascii="Liberation Serif" w:hAnsi="Liberation Serif" w:eastAsia="Noto Serif CJK SC" w:cs="Noto Sans Devanagari"/>
      <w:b/>
      <w:bCs/>
      <w:color w:val="1F3864"/>
      <w:sz w:val="28"/>
      <w:szCs w:val="28"/>
    </w:rPr>
  </w:style>
  <w:style w:type="paragraph" w:styleId="Heading3">
    <w:name w:val="heading 3"/>
    <w:basedOn w:val="Heading"/>
    <w:next w:val="BodyText"/>
    <w:qFormat/>
    <w:pPr>
      <w:spacing w:before="210" w:after="120"/>
      <w:outlineLvl w:val="2"/>
    </w:pPr>
    <w:rPr>
      <w:rFonts w:ascii="Liberation Serif" w:hAnsi="Liberation Serif" w:eastAsia="Noto Serif CJK SC" w:cs="Noto Sans Devanagari"/>
      <w:b/>
      <w:bCs/>
      <w:color w:val="2E5395"/>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 w:hAnsi="Liberation Mono" w:eastAsia="Noto Sans Mono CJK SC" w:cs="Liberation Mono"/>
      <w:sz w:val="19"/>
      <w:szCs w:val="19"/>
      <w:shd w:fill="EFEFEF" w:val="clear"/>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z w:val="20"/>
      <w:szCs w:val="20"/>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F3864" w:val="clear"/>
      <w:jc w:val="left"/>
    </w:pPr>
    <w:rPr>
      <w:b/>
      <w:bCs/>
      <w:color w:val="FFFFFF"/>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LibreOffice_project/6d2b0d33fb0f5da53a12f98bed3e9973e56ff1f0</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Alpha Test Plan</dc:title>
</cp:coreProperties>
</file>

<file path=docProps/custom.xml><?xml version="1.0" encoding="utf-8"?>
<Properties xmlns="http://schemas.openxmlformats.org/officeDocument/2006/custom-properties" xmlns:vt="http://schemas.openxmlformats.org/officeDocument/2006/docPropsVTypes"/>
</file>