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p>
      <w:pPr>
        <w:pStyle w:val="Heading1"/>
      </w:pPr>
      <w:r>
        <w:t>25.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User Manual — the “Changing your language” section now lists exactly 9 supported languages, grouped as the administrator named them.</w:t>
      </w:r>
    </w:p>
    <w:p>
      <w:pPr>
        <w:pStyle w:val="Heading1"/>
      </w:pPr>
      <w:r>
        <w:t>26.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User Manual — no new procedure; the existing “Changing your language” section is now accurate for every screen without qualification.</w:t>
      </w:r>
    </w:p>
    <w:p>
      <w:pPr>
        <w:pStyle w:val="Heading1"/>
      </w:pPr>
      <w:r>
        <w:t>27.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User Manual — no end-user procedural change; a new "where to find the app" URL exists once continuous deployment and a public backend are both set up.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