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Maintenance - keep the card validity period (default three years) and the MID- number format documented; the QR block is a placeholder pending a real encoder and the photo is a text reference pending object storage; the bulk-generate endpoint also performs the expiry sweep and can be scheduled later.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Maintenance - keep the standard conditions-of-use text (STANDARD_TERMS) and the derived-vs-held back fields documented; the back barcode is a placeholder pending a real symbology,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Maintenance - the card front and back share one fixed size (CARD_W x CARD_H in IdCard.jsx); the blood group is no longer stored.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Maintenance - keep the seeded ids documented (company a1...007; branches b1...0040-0045; departments d1...0060-0071; policies p1...0040-0045) and doc 23 in step as the milling ERP is scoped and phased.</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Maintenance - keep the stamp-number format (MOR-ESTAMP-YYYY-NNNNNN) and the seal drawing (the standard 'M' geometry) documented; the acknowledgement is one-shot per delivery; the PDF seal is vector, no font dependency.</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Maintenance - the awaiting-confirmation read is derived from deliveries.status + customer_ack_at; keep the /orders/:id/confirm route documented alongside the acknowledge endpoint.</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Maintenance - the customer receipt fields live on Order now (delivered_at + customer_receipt_*); a delivery record, when present, is kept in step; keep the stamp-number format documented.</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Maintenance - keep the per-platform rules (character limits, media requirements, truncation) in PLATFORM_RULES current; the publish is simulated (dispatchOne) and the schedule runner is manual (run-scheduled) - both are the integration seams for a real build; tokens are modelled with a 60-day expiry.</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Maintenance - no new module to maintain: the same Products/ProductCategories code path is generalised, not extended with new machinery. No added upkeep burden.</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Maintenance - no new module to maintain: seed data and one static brand asset, the same footprint as every prior spec-stage subsidiary pass.</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Maintenance - no new module to maintain: seed data only, the same footprint as every prior services-catalogue pass.</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Maintenance - three new Dockerfiles + nginx configs to keep in sync with each app's own build tooling (e.g. a new frontend dependency needing a base-image bump); otherwise no new ongoing maintenance surface.</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Maintenance — a smaller, fully-translated set to keep in sync going forward — no more partial or placeholder language entries to track.</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Maintenance — a new key added to en.js should be backfilled to all 8 languages promptly going forward — this update closes the one gap that had built up since Update 48/94-96.</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Maintenance — two Netlify sites and two netlify.toml files to keep in sync with each app's own build tooling; the backend's public URL still needs to be decided and wired into the commented-out redirect when it exists.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