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Feasibility - no feasibility impact: built on the existing delivery module and invoice / PDF machinery; the seal is drawn with the same vector 'M' the apps already use.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Feasibility - no feasibility impact: one derived read over the existing deliveries table and three front-end surfaces for an already-built action.</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Feasibility - no feasibility impact: the confirmation moves from the delivery record to the order, which every sale already has; a delivery record is now optional.</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Feasibility - the composer, fan-out engine, partial-failure handling, retry and dashboard are feasible and built; the genuinely hard / costly parts (per-platform OAuth apps, X's pay-per-use billing, Meta app review, LinkedIn's Marketing Developer Platform approval, server-side media processing, a job queue) are scoped in doc 24 as the next phase.</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Feasibility - no feasibility impact: this reuses the existing multi-tenant Product model and Admin CRUD screen. Branch tagging was already present on the schema (29 August); only its write path and the Admin UI caught up.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Feasibility - no feasibility impact: the subsidiary's organisation is seeded the same way as every subsidiary before it, reusing the existing subsidiary-lifecycle capability. The RC-MIS system itself is a specification, not a feasibility commitment.</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Feasibility - no feasibility impact: reuses the existing Product/ProductCategory model and the ensureService() seed helper already exercised for four other subsidiaries' services catalogues.</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Feasibility - no feasibility impact: containerizing an already-working application is an operational change, not a new capability requiring new feasibility analysis.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