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Morise Holdings Limited</w:t>
      </w:r>
    </w:p>
    <w:p>
      <w:pPr>
        <w:pStyle w:val="BodyText"/>
        <w:bidi w:val="0"/>
        <w:spacing w:before="30" w:after="283"/>
        <w:ind w:hanging="0" w:left="0" w:right="0"/>
        <w:jc w:val="left"/>
        <w:rPr>
          <w:color w:val="444444"/>
          <w:sz w:val="24"/>
        </w:rPr>
      </w:pPr>
      <w:r>
        <w:rPr>
          <w:color w:val="444444"/>
          <w:sz w:val="24"/>
        </w:rPr>
        <w:t>Software Requirements Specification (SRS)</w:t>
      </w:r>
    </w:p>
    <w:p>
      <w:pPr>
        <w:pStyle w:val="BodyText"/>
        <w:bidi w:val="0"/>
        <w:spacing w:before="30" w:after="283"/>
        <w:ind w:hanging="0" w:left="0" w:right="0"/>
        <w:jc w:val="left"/>
        <w:rPr>
          <w:color w:val="444444"/>
          <w:sz w:val="24"/>
        </w:rPr>
      </w:pPr>
      <w:r>
        <w:rPr>
          <w:color w:val="444444"/>
          <w:sz w:val="24"/>
        </w:rPr>
        <w:t>Morise Holdings Limited Business Management System (MBMS) — Phase 1 (Core / MVP)</w:t>
      </w:r>
    </w:p>
    <w:tbl>
      <w:tblPr>
        <w:tblW w:w="11339" w:type="dxa"/>
        <w:jc w:val="left"/>
        <w:tblInd w:w="28" w:type="dxa"/>
        <w:tblLayout w:type="fixed"/>
        <w:tblCellMar>
          <w:top w:w="28" w:type="dxa"/>
          <w:left w:w="28" w:type="dxa"/>
          <w:bottom w:w="28" w:type="dxa"/>
          <w:right w:w="28" w:type="dxa"/>
        </w:tblCellMar>
      </w:tblPr>
      <w:tblGrid>
        <w:gridCol w:w="1959"/>
        <w:gridCol w:w="9380"/>
      </w:tblGrid>
      <w:tr>
        <w:trPr/>
        <w:tc>
          <w:tcPr>
            <w:tcW w:w="1959" w:type="dxa"/>
            <w:tcBorders/>
            <w:vAlign w:val="center"/>
          </w:tcPr>
          <w:p>
            <w:pPr>
              <w:pStyle w:val="TableContents"/>
              <w:bidi w:val="0"/>
              <w:spacing w:before="0" w:after="283"/>
              <w:jc w:val="left"/>
              <w:rPr>
                <w:b/>
              </w:rPr>
            </w:pPr>
            <w:r>
              <w:rPr>
                <w:b/>
              </w:rPr>
              <w:t>Document Type:</w:t>
            </w:r>
          </w:p>
        </w:tc>
        <w:tc>
          <w:tcPr>
            <w:tcW w:w="9380" w:type="dxa"/>
            <w:tcBorders/>
            <w:vAlign w:val="center"/>
          </w:tcPr>
          <w:p>
            <w:pPr>
              <w:pStyle w:val="TableContents"/>
              <w:bidi w:val="0"/>
              <w:spacing w:before="0" w:after="283"/>
              <w:jc w:val="left"/>
              <w:rPr/>
            </w:pPr>
            <w:r>
              <w:rPr/>
              <w:t>Software Requirements Specification</w:t>
            </w:r>
          </w:p>
        </w:tc>
      </w:tr>
      <w:tr>
        <w:trPr/>
        <w:tc>
          <w:tcPr>
            <w:tcW w:w="1959" w:type="dxa"/>
            <w:tcBorders/>
            <w:vAlign w:val="center"/>
          </w:tcPr>
          <w:p>
            <w:pPr>
              <w:pStyle w:val="TableContents"/>
              <w:bidi w:val="0"/>
              <w:spacing w:before="0" w:after="283"/>
              <w:jc w:val="left"/>
              <w:rPr>
                <w:b/>
              </w:rPr>
            </w:pPr>
            <w:r>
              <w:rPr>
                <w:b/>
              </w:rPr>
              <w:t>Purpose:</w:t>
            </w:r>
          </w:p>
        </w:tc>
        <w:tc>
          <w:tcPr>
            <w:tcW w:w="9380" w:type="dxa"/>
            <w:tcBorders/>
            <w:vAlign w:val="center"/>
          </w:tcPr>
          <w:p>
            <w:pPr>
              <w:pStyle w:val="TableContents"/>
              <w:bidi w:val="0"/>
              <w:spacing w:before="0" w:after="283"/>
              <w:jc w:val="left"/>
              <w:rPr/>
            </w:pPr>
            <w:r>
              <w:rPr/>
              <w:t>Defines functional and non-functional requirements</w:t>
            </w:r>
          </w:p>
        </w:tc>
      </w:tr>
      <w:tr>
        <w:trPr/>
        <w:tc>
          <w:tcPr>
            <w:tcW w:w="1959" w:type="dxa"/>
            <w:tcBorders/>
            <w:vAlign w:val="center"/>
          </w:tcPr>
          <w:p>
            <w:pPr>
              <w:pStyle w:val="TableContents"/>
              <w:bidi w:val="0"/>
              <w:spacing w:before="0" w:after="283"/>
              <w:jc w:val="left"/>
              <w:rPr>
                <w:b/>
              </w:rPr>
            </w:pPr>
            <w:r>
              <w:rPr>
                <w:b/>
              </w:rPr>
              <w:t>Version:</w:t>
            </w:r>
          </w:p>
        </w:tc>
        <w:tc>
          <w:tcPr>
            <w:tcW w:w="9380" w:type="dxa"/>
            <w:tcBorders/>
            <w:vAlign w:val="center"/>
          </w:tcPr>
          <w:p>
            <w:pPr>
              <w:pStyle w:val="TableContents"/>
              <w:bidi w:val="0"/>
              <w:spacing w:before="0" w:after="283"/>
              <w:jc w:val="left"/>
              <w:rPr/>
            </w:pPr>
            <w:r>
              <w:rPr/>
              <w:t>1.2 (Draft — architecture references updated for microservices)</w:t>
            </w:r>
          </w:p>
        </w:tc>
      </w:tr>
      <w:tr>
        <w:trPr/>
        <w:tc>
          <w:tcPr>
            <w:tcW w:w="1959" w:type="dxa"/>
            <w:tcBorders/>
            <w:vAlign w:val="center"/>
          </w:tcPr>
          <w:p>
            <w:pPr>
              <w:pStyle w:val="TableContents"/>
              <w:bidi w:val="0"/>
              <w:spacing w:before="0" w:after="283"/>
              <w:jc w:val="left"/>
              <w:rPr>
                <w:b/>
              </w:rPr>
            </w:pPr>
            <w:r>
              <w:rPr>
                <w:b/>
              </w:rPr>
              <w:t>Date:</w:t>
            </w:r>
          </w:p>
        </w:tc>
        <w:tc>
          <w:tcPr>
            <w:tcW w:w="9380" w:type="dxa"/>
            <w:tcBorders/>
            <w:vAlign w:val="center"/>
          </w:tcPr>
          <w:p>
            <w:pPr>
              <w:pStyle w:val="TableContents"/>
              <w:bidi w:val="0"/>
              <w:spacing w:before="0" w:after="283"/>
              <w:jc w:val="left"/>
              <w:rPr/>
            </w:pPr>
            <w:r>
              <w:rPr/>
              <w:t>18 August 2026</w:t>
            </w:r>
          </w:p>
        </w:tc>
      </w:tr>
      <w:tr>
        <w:trPr/>
        <w:tc>
          <w:tcPr>
            <w:tcW w:w="1959" w:type="dxa"/>
            <w:tcBorders/>
            <w:vAlign w:val="center"/>
          </w:tcPr>
          <w:p>
            <w:pPr>
              <w:pStyle w:val="TableContents"/>
              <w:bidi w:val="0"/>
              <w:spacing w:before="0" w:after="283"/>
              <w:jc w:val="left"/>
              <w:rPr>
                <w:b/>
              </w:rPr>
            </w:pPr>
            <w:r>
              <w:rPr>
                <w:b/>
              </w:rPr>
              <w:t>Prepared by:</w:t>
            </w:r>
          </w:p>
        </w:tc>
        <w:tc>
          <w:tcPr>
            <w:tcW w:w="9380" w:type="dxa"/>
            <w:tcBorders/>
            <w:vAlign w:val="center"/>
          </w:tcPr>
          <w:p>
            <w:pPr>
              <w:pStyle w:val="TableContents"/>
              <w:bidi w:val="0"/>
              <w:spacing w:before="0" w:after="283"/>
              <w:jc w:val="left"/>
              <w:rPr/>
            </w:pPr>
            <w:r>
              <w:rPr/>
              <w:t>Obeke Godfrey, Director</w:t>
            </w:r>
          </w:p>
        </w:tc>
      </w:tr>
      <w:tr>
        <w:trPr/>
        <w:tc>
          <w:tcPr>
            <w:tcW w:w="1959" w:type="dxa"/>
            <w:tcBorders/>
            <w:vAlign w:val="center"/>
          </w:tcPr>
          <w:p>
            <w:pPr>
              <w:pStyle w:val="TableContents"/>
              <w:bidi w:val="0"/>
              <w:spacing w:before="0" w:after="283"/>
              <w:jc w:val="left"/>
              <w:rPr>
                <w:b/>
              </w:rPr>
            </w:pPr>
            <w:r>
              <w:rPr>
                <w:b/>
              </w:rPr>
              <w:t>Prepared for:</w:t>
            </w:r>
          </w:p>
        </w:tc>
        <w:tc>
          <w:tcPr>
            <w:tcW w:w="9380" w:type="dxa"/>
            <w:tcBorders/>
            <w:vAlign w:val="center"/>
          </w:tcPr>
          <w:p>
            <w:pPr>
              <w:pStyle w:val="TableContents"/>
              <w:bidi w:val="0"/>
              <w:spacing w:before="0" w:after="283"/>
              <w:jc w:val="left"/>
              <w:rPr/>
            </w:pPr>
            <w:r>
              <w:rPr/>
              <w:t>Board of Directors and Development Team, Morise Holdings Limited</w:t>
            </w:r>
          </w:p>
        </w:tc>
      </w:tr>
      <w:tr>
        <w:trPr/>
        <w:tc>
          <w:tcPr>
            <w:tcW w:w="1959" w:type="dxa"/>
            <w:tcBorders/>
            <w:vAlign w:val="center"/>
          </w:tcPr>
          <w:p>
            <w:pPr>
              <w:pStyle w:val="TableContents"/>
              <w:bidi w:val="0"/>
              <w:spacing w:before="0" w:after="283"/>
              <w:jc w:val="left"/>
              <w:rPr>
                <w:b/>
              </w:rPr>
            </w:pPr>
            <w:r>
              <w:rPr>
                <w:b/>
              </w:rPr>
              <w:t>Related documents:</w:t>
            </w:r>
          </w:p>
        </w:tc>
        <w:tc>
          <w:tcPr>
            <w:tcW w:w="9380" w:type="dxa"/>
            <w:tcBorders/>
            <w:vAlign w:val="center"/>
          </w:tcPr>
          <w:p>
            <w:pPr>
              <w:pStyle w:val="TableContents"/>
              <w:bidi w:val="0"/>
              <w:spacing w:before="0" w:after="283"/>
              <w:jc w:val="left"/>
              <w:rPr/>
            </w:pPr>
            <w:r>
              <w:rPr/>
              <w:t>01_Project Proposal; 02_Project Charter / Business Case; 03_Feasibility Study; 07_System Design Document (v2.0)</w:t>
            </w:r>
          </w:p>
        </w:tc>
      </w:tr>
    </w:tbl>
    <w:p>
      <w:pPr>
        <w:pStyle w:val="Heading2"/>
        <w:bidi w:val="0"/>
        <w:jc w:val="left"/>
        <w:rPr/>
      </w:pPr>
      <w:r>
        <w:rPr/>
        <w:t>1. Introduction</w:t>
      </w:r>
    </w:p>
    <w:p>
      <w:pPr>
        <w:pStyle w:val="Heading3"/>
        <w:bidi w:val="0"/>
        <w:jc w:val="left"/>
        <w:rPr/>
      </w:pPr>
      <w:r>
        <w:rPr/>
        <w:t>1.1 Purpose</w:t>
      </w:r>
    </w:p>
    <w:p>
      <w:pPr>
        <w:pStyle w:val="BodyText"/>
        <w:bidi w:val="0"/>
        <w:jc w:val="left"/>
        <w:rPr/>
      </w:pPr>
      <w:r>
        <w:rPr/>
        <w:t xml:space="preserve">This Software Requirements Specification (SRS) defines the functional and non-functional requirements for </w:t>
      </w:r>
      <w:r>
        <w:rPr>
          <w:b/>
        </w:rPr>
        <w:t>Phase 1 (Core/MVP)</w:t>
      </w:r>
      <w:r>
        <w:rPr/>
        <w:t xml:space="preserve"> of the Morise Holdings Limited Business Management System (MBMS). It is written for the Board (as approval reference), and for the development team or technology partner engaged to design and build the system (as the primary build reference). The requirements below are architecture-neutral by design — they describe </w:t>
      </w:r>
      <w:r>
        <w:rPr>
          <w:i/>
        </w:rPr>
        <w:t>what</w:t>
      </w:r>
      <w:r>
        <w:rPr/>
        <w:t xml:space="preserve"> the system must do, not which service implements it; the service-level design (microservices, per 07_System Design Document v2.0) is documented there.</w:t>
      </w:r>
    </w:p>
    <w:p>
      <w:pPr>
        <w:pStyle w:val="Heading3"/>
        <w:bidi w:val="0"/>
        <w:jc w:val="left"/>
        <w:rPr/>
      </w:pPr>
      <w:r>
        <w:rPr/>
        <w:t>1.2 Business Objectives</w:t>
      </w:r>
    </w:p>
    <w:p>
      <w:pPr>
        <w:pStyle w:val="BodyText"/>
        <w:bidi w:val="0"/>
        <w:jc w:val="left"/>
        <w:rPr/>
      </w:pPr>
      <w:r>
        <w:rPr/>
        <w:t>This SRS exists to satisfy the same business objectives set out in the Project Charter:</w:t>
      </w:r>
    </w:p>
    <w:p>
      <w:pPr>
        <w:pStyle w:val="BodyText"/>
        <w:numPr>
          <w:ilvl w:val="0"/>
          <w:numId w:val="1"/>
        </w:numPr>
        <w:tabs>
          <w:tab w:val="clear" w:pos="1134"/>
          <w:tab w:val="left" w:pos="709" w:leader="none"/>
        </w:tabs>
        <w:bidi w:val="0"/>
        <w:spacing w:before="0" w:after="0"/>
        <w:ind w:hanging="283" w:left="709"/>
        <w:jc w:val="left"/>
        <w:rPr/>
      </w:pPr>
      <w:r>
        <w:rPr/>
        <w:t xml:space="preserve">Centralize company, branch, department, employee, customer, supplier and financial data in a single system of record. </w:t>
      </w:r>
    </w:p>
    <w:p>
      <w:pPr>
        <w:pStyle w:val="BodyText"/>
        <w:numPr>
          <w:ilvl w:val="0"/>
          <w:numId w:val="1"/>
        </w:numPr>
        <w:tabs>
          <w:tab w:val="clear" w:pos="1134"/>
          <w:tab w:val="left" w:pos="709" w:leader="none"/>
        </w:tabs>
        <w:bidi w:val="0"/>
        <w:spacing w:before="0" w:after="0"/>
        <w:ind w:hanging="283" w:left="709"/>
        <w:jc w:val="left"/>
        <w:rPr/>
      </w:pPr>
      <w:r>
        <w:rPr/>
        <w:t xml:space="preserve">Give the Board and Group executives a consolidated view of Group structure, while preserving subsidiary-level operational independence. </w:t>
      </w:r>
    </w:p>
    <w:p>
      <w:pPr>
        <w:pStyle w:val="BodyText"/>
        <w:numPr>
          <w:ilvl w:val="0"/>
          <w:numId w:val="1"/>
        </w:numPr>
        <w:tabs>
          <w:tab w:val="clear" w:pos="1134"/>
          <w:tab w:val="left" w:pos="709" w:leader="none"/>
        </w:tabs>
        <w:bidi w:val="0"/>
        <w:spacing w:before="0" w:after="0"/>
        <w:ind w:hanging="283" w:left="709"/>
        <w:jc w:val="left"/>
        <w:rPr/>
      </w:pPr>
      <w:r>
        <w:rPr/>
        <w:t xml:space="preserve">Replace manual, paper-based processes with structured, role-controlled digital records. </w:t>
      </w:r>
    </w:p>
    <w:p>
      <w:pPr>
        <w:pStyle w:val="BodyText"/>
        <w:numPr>
          <w:ilvl w:val="0"/>
          <w:numId w:val="1"/>
        </w:numPr>
        <w:tabs>
          <w:tab w:val="clear" w:pos="1134"/>
          <w:tab w:val="left" w:pos="709" w:leader="none"/>
        </w:tabs>
        <w:bidi w:val="0"/>
        <w:spacing w:before="0" w:after="0"/>
        <w:ind w:hanging="283" w:left="709"/>
        <w:jc w:val="left"/>
        <w:rPr/>
      </w:pPr>
      <w:r>
        <w:rPr/>
        <w:t xml:space="preserve">Establish role-based access control and a complete audit trail from the first release, rather than adding them later. </w:t>
      </w:r>
    </w:p>
    <w:p>
      <w:pPr>
        <w:pStyle w:val="BodyText"/>
        <w:numPr>
          <w:ilvl w:val="0"/>
          <w:numId w:val="1"/>
        </w:numPr>
        <w:tabs>
          <w:tab w:val="clear" w:pos="1134"/>
          <w:tab w:val="left" w:pos="709" w:leader="none"/>
        </w:tabs>
        <w:bidi w:val="0"/>
        <w:ind w:hanging="283" w:left="709"/>
        <w:jc w:val="left"/>
        <w:rPr/>
      </w:pPr>
      <w:r>
        <w:rPr/>
        <w:t xml:space="preserve">Provide a stable technical and data foundation on which Phases 2–5 (sales, procurement, inventory, payroll, CRM, etc.) can be built without rework. </w:t>
      </w:r>
    </w:p>
    <w:p>
      <w:pPr>
        <w:pStyle w:val="Heading3"/>
        <w:bidi w:val="0"/>
        <w:jc w:val="left"/>
        <w:rPr/>
      </w:pPr>
      <w:r>
        <w:rPr/>
        <w:t>1.3 Document Conventions</w:t>
      </w:r>
    </w:p>
    <w:p>
      <w:pPr>
        <w:pStyle w:val="BodyText"/>
        <w:numPr>
          <w:ilvl w:val="0"/>
          <w:numId w:val="2"/>
        </w:numPr>
        <w:tabs>
          <w:tab w:val="clear" w:pos="1134"/>
          <w:tab w:val="left" w:pos="709" w:leader="none"/>
        </w:tabs>
        <w:bidi w:val="0"/>
        <w:spacing w:before="0" w:after="0"/>
        <w:ind w:hanging="283" w:left="709"/>
        <w:jc w:val="left"/>
        <w:rPr/>
      </w:pPr>
      <w:r>
        <w:rPr/>
        <w:t xml:space="preserve">Each requirement has a unique ID in the form </w:t>
      </w:r>
      <w:r>
        <w:rPr>
          <w:rStyle w:val="SourceText"/>
        </w:rPr>
        <w:t>FR-&lt;AREA&gt;-##</w:t>
      </w:r>
      <w:r>
        <w:rPr/>
        <w:t xml:space="preserve"> (functional), </w:t>
      </w:r>
      <w:r>
        <w:rPr>
          <w:rStyle w:val="SourceText"/>
        </w:rPr>
        <w:t>NFR-##</w:t>
      </w:r>
      <w:r>
        <w:rPr/>
        <w:t xml:space="preserve"> (non-functional), </w:t>
      </w:r>
      <w:r>
        <w:rPr>
          <w:rStyle w:val="SourceText"/>
        </w:rPr>
        <w:t>BR-##</w:t>
      </w:r>
      <w:r>
        <w:rPr/>
        <w:t xml:space="preserve"> (business rule), </w:t>
      </w:r>
      <w:r>
        <w:rPr>
          <w:rStyle w:val="SourceText"/>
        </w:rPr>
        <w:t>SEC-##</w:t>
      </w:r>
      <w:r>
        <w:rPr/>
        <w:t xml:space="preserve"> (security), </w:t>
      </w:r>
      <w:r>
        <w:rPr>
          <w:rStyle w:val="SourceText"/>
        </w:rPr>
        <w:t>RPT-##</w:t>
      </w:r>
      <w:r>
        <w:rPr/>
        <w:t xml:space="preserve"> (reporting), </w:t>
      </w:r>
      <w:r>
        <w:rPr>
          <w:rStyle w:val="SourceText"/>
        </w:rPr>
        <w:t>INT-##</w:t>
      </w:r>
      <w:r>
        <w:rPr/>
        <w:t xml:space="preserve"> (integration) or </w:t>
      </w:r>
      <w:r>
        <w:rPr>
          <w:rStyle w:val="SourceText"/>
        </w:rPr>
        <w:t>AC-##</w:t>
      </w:r>
      <w:r>
        <w:rPr/>
        <w:t xml:space="preserve"> (acceptance criterion). </w:t>
      </w:r>
    </w:p>
    <w:p>
      <w:pPr>
        <w:pStyle w:val="BodyText"/>
        <w:numPr>
          <w:ilvl w:val="0"/>
          <w:numId w:val="2"/>
        </w:numPr>
        <w:tabs>
          <w:tab w:val="clear" w:pos="1134"/>
          <w:tab w:val="left" w:pos="709" w:leader="none"/>
        </w:tabs>
        <w:bidi w:val="0"/>
        <w:spacing w:before="0" w:after="0"/>
        <w:ind w:hanging="283" w:left="709"/>
        <w:jc w:val="left"/>
        <w:rPr/>
      </w:pPr>
      <w:r>
        <w:rPr/>
        <w:t xml:space="preserve">Priority follows MoSCoW: </w:t>
      </w:r>
      <w:r>
        <w:rPr>
          <w:b/>
        </w:rPr>
        <w:t>Must</w:t>
      </w:r>
      <w:r>
        <w:rPr/>
        <w:t xml:space="preserve"> (required for Phase 1 go-live), </w:t>
      </w:r>
      <w:r>
        <w:rPr>
          <w:b/>
        </w:rPr>
        <w:t>Should</w:t>
      </w:r>
      <w:r>
        <w:rPr/>
        <w:t xml:space="preserve"> (important but not launch-blocking), </w:t>
      </w:r>
      <w:r>
        <w:rPr>
          <w:b/>
        </w:rPr>
        <w:t>Could</w:t>
      </w:r>
      <w:r>
        <w:rPr/>
        <w:t xml:space="preserve"> (deferred if time/budget constrained). </w:t>
      </w:r>
    </w:p>
    <w:p>
      <w:pPr>
        <w:pStyle w:val="BodyText"/>
        <w:numPr>
          <w:ilvl w:val="0"/>
          <w:numId w:val="2"/>
        </w:numPr>
        <w:tabs>
          <w:tab w:val="clear" w:pos="1134"/>
          <w:tab w:val="left" w:pos="709" w:leader="none"/>
        </w:tabs>
        <w:bidi w:val="0"/>
        <w:ind w:hanging="283" w:left="709"/>
        <w:jc w:val="left"/>
        <w:rPr/>
      </w:pPr>
      <w:r>
        <w:rPr/>
        <w:t xml:space="preserve">"The system shall…" statements are testable requirements; explanatory text is non-testable context. </w:t>
      </w:r>
    </w:p>
    <w:p>
      <w:pPr>
        <w:pStyle w:val="Heading3"/>
        <w:bidi w:val="0"/>
        <w:jc w:val="left"/>
        <w:rPr/>
      </w:pPr>
      <w:r>
        <w:rPr/>
        <w:t>1.4 References</w:t>
      </w:r>
    </w:p>
    <w:p>
      <w:pPr>
        <w:pStyle w:val="BodyText"/>
        <w:numPr>
          <w:ilvl w:val="0"/>
          <w:numId w:val="3"/>
        </w:numPr>
        <w:tabs>
          <w:tab w:val="clear" w:pos="1134"/>
          <w:tab w:val="left" w:pos="709" w:leader="none"/>
        </w:tabs>
        <w:bidi w:val="0"/>
        <w:spacing w:before="0" w:after="0"/>
        <w:ind w:hanging="283" w:left="709"/>
        <w:jc w:val="left"/>
        <w:rPr/>
      </w:pPr>
      <w:r>
        <w:rPr/>
        <w:t xml:space="preserve">Board Resolution for Morise Holdings Limited (14 June 2019) </w:t>
      </w:r>
    </w:p>
    <w:p>
      <w:pPr>
        <w:pStyle w:val="BodyText"/>
        <w:numPr>
          <w:ilvl w:val="0"/>
          <w:numId w:val="3"/>
        </w:numPr>
        <w:tabs>
          <w:tab w:val="clear" w:pos="1134"/>
          <w:tab w:val="left" w:pos="709" w:leader="none"/>
        </w:tabs>
        <w:bidi w:val="0"/>
        <w:spacing w:before="0" w:after="0"/>
        <w:ind w:hanging="283" w:left="709"/>
        <w:jc w:val="left"/>
        <w:rPr/>
      </w:pPr>
      <w:r>
        <w:rPr/>
        <w:t xml:space="preserve">Morise Holdings Limited Business Management System — scope document (morise.docx) </w:t>
      </w:r>
    </w:p>
    <w:p>
      <w:pPr>
        <w:pStyle w:val="BodyText"/>
        <w:numPr>
          <w:ilvl w:val="0"/>
          <w:numId w:val="3"/>
        </w:numPr>
        <w:tabs>
          <w:tab w:val="clear" w:pos="1134"/>
          <w:tab w:val="left" w:pos="709" w:leader="none"/>
        </w:tabs>
        <w:bidi w:val="0"/>
        <w:spacing w:before="0" w:after="0"/>
        <w:ind w:hanging="283" w:left="709"/>
        <w:jc w:val="left"/>
        <w:rPr/>
      </w:pPr>
      <w:r>
        <w:rPr/>
        <w:t xml:space="preserve">Multi Holdings Limited Software Development Procedures and Implementation Blueprint </w:t>
      </w:r>
    </w:p>
    <w:p>
      <w:pPr>
        <w:pStyle w:val="BodyText"/>
        <w:numPr>
          <w:ilvl w:val="0"/>
          <w:numId w:val="3"/>
        </w:numPr>
        <w:tabs>
          <w:tab w:val="clear" w:pos="1134"/>
          <w:tab w:val="left" w:pos="709" w:leader="none"/>
        </w:tabs>
        <w:bidi w:val="0"/>
        <w:ind w:hanging="283" w:left="709"/>
        <w:jc w:val="left"/>
        <w:rPr/>
      </w:pPr>
      <w:r>
        <w:rPr/>
        <w:t xml:space="preserve">01_Project Proposal; 02_Project Charter / Business Case; 03_Feasibility Study; 07_System Design Document — Morise Holdings Limited </w:t>
      </w:r>
    </w:p>
    <w:p>
      <w:pPr>
        <w:pStyle w:val="Heading2"/>
        <w:bidi w:val="0"/>
        <w:jc w:val="left"/>
        <w:rPr/>
      </w:pPr>
      <w:r>
        <w:rPr/>
        <w:t>2. Overall Description</w:t>
      </w:r>
    </w:p>
    <w:p>
      <w:pPr>
        <w:pStyle w:val="Heading3"/>
        <w:bidi w:val="0"/>
        <w:jc w:val="left"/>
        <w:rPr/>
      </w:pPr>
      <w:r>
        <w:rPr/>
        <w:t>2.1 Product Perspective</w:t>
      </w:r>
    </w:p>
    <w:p>
      <w:pPr>
        <w:pStyle w:val="BodyText"/>
        <w:bidi w:val="0"/>
        <w:jc w:val="left"/>
        <w:rPr/>
      </w:pPr>
      <w:r>
        <w:rPr/>
        <w:t>MBMS is a new, purpose-built system — it does not replace an existing software system, since the Group currently relies on manual and spreadsheet-based records. Phase 1 establishes the platform's organizational, identity and financial foundation, delivered as a set of microservices per 07_System Design Document (v2.0); later phases add transactional business operations (Phase 2), advanced finance (Phase 3), enterprise/governance functions (Phase 4), and integrations/mobile access (Phase 5).</w:t>
      </w:r>
    </w:p>
    <w:p>
      <w:pPr>
        <w:pStyle w:val="Heading3"/>
        <w:bidi w:val="0"/>
        <w:jc w:val="left"/>
        <w:rPr/>
      </w:pPr>
      <w:r>
        <w:rPr/>
        <w:t>2.2 Scope Boundary</w:t>
      </w:r>
    </w:p>
    <w:p>
      <w:pPr>
        <w:pStyle w:val="BodyText"/>
        <w:bidi w:val="0"/>
        <w:jc w:val="left"/>
        <w:rPr/>
      </w:pPr>
      <w:r>
        <w:rPr/>
        <w:t xml:space="preserve">This SRS covers </w:t>
      </w:r>
      <w:r>
        <w:rPr>
          <w:b/>
        </w:rPr>
        <w:t>Phase 1 only</w:t>
      </w:r>
      <w:r>
        <w:rPr/>
        <w:t>: Authentication; Company/Group, branch and department management; User, role and permission management; a basic Dashboard; Employee records; Customer records; Supplier records; Product records; Basic Accounting (general ledger); and System Audit Trail. Section 12 lists what is explicitly out of scope for Phase 1.</w:t>
      </w:r>
    </w:p>
    <w:p>
      <w:pPr>
        <w:pStyle w:val="Heading3"/>
        <w:bidi w:val="0"/>
        <w:jc w:val="left"/>
        <w:rPr/>
      </w:pPr>
      <w:r>
        <w:rPr/>
        <w:t>2.3 User Classes and Characteristics</w:t>
      </w:r>
    </w:p>
    <w:p>
      <w:pPr>
        <w:pStyle w:val="BodyText"/>
        <w:bidi w:val="0"/>
        <w:jc w:val="left"/>
        <w:rPr/>
      </w:pPr>
      <w:r>
        <w:rPr/>
        <w:t>The full role catalogue envisioned for the mature system is listed below; Section 3 identifies which roles are active users of Phase 1 specifically.</w:t>
      </w:r>
    </w:p>
    <w:tbl>
      <w:tblPr>
        <w:tblW w:w="11339" w:type="dxa"/>
        <w:jc w:val="left"/>
        <w:tblInd w:w="28" w:type="dxa"/>
        <w:tblLayout w:type="fixed"/>
        <w:tblCellMar>
          <w:top w:w="28" w:type="dxa"/>
          <w:left w:w="28" w:type="dxa"/>
          <w:bottom w:w="28" w:type="dxa"/>
          <w:right w:w="28" w:type="dxa"/>
        </w:tblCellMar>
      </w:tblPr>
      <w:tblGrid>
        <w:gridCol w:w="6786"/>
        <w:gridCol w:w="4553"/>
      </w:tblGrid>
      <w:tr>
        <w:trPr/>
        <w:tc>
          <w:tcPr>
            <w:tcW w:w="6786" w:type="dxa"/>
            <w:tcBorders/>
            <w:vAlign w:val="center"/>
          </w:tcPr>
          <w:p>
            <w:pPr>
              <w:pStyle w:val="TableHeading"/>
              <w:suppressLineNumbers/>
              <w:shd w:fill="1F3864" w:val="clear"/>
              <w:bidi w:val="0"/>
              <w:spacing w:before="0" w:after="283"/>
              <w:jc w:val="left"/>
              <w:rPr/>
            </w:pPr>
            <w:r>
              <w:rPr/>
              <w:t>Role</w:t>
            </w:r>
          </w:p>
        </w:tc>
        <w:tc>
          <w:tcPr>
            <w:tcW w:w="4553" w:type="dxa"/>
            <w:tcBorders/>
            <w:vAlign w:val="center"/>
          </w:tcPr>
          <w:p>
            <w:pPr>
              <w:pStyle w:val="TableHeading"/>
              <w:suppressLineNumbers/>
              <w:shd w:fill="1F3864" w:val="clear"/>
              <w:bidi w:val="0"/>
              <w:spacing w:before="0" w:after="283"/>
              <w:jc w:val="left"/>
              <w:rPr/>
            </w:pPr>
            <w:r>
              <w:rPr/>
              <w:t>Phase 1 Relevance</w:t>
            </w:r>
          </w:p>
        </w:tc>
      </w:tr>
      <w:tr>
        <w:trPr/>
        <w:tc>
          <w:tcPr>
            <w:tcW w:w="6786" w:type="dxa"/>
            <w:tcBorders/>
            <w:vAlign w:val="center"/>
          </w:tcPr>
          <w:p>
            <w:pPr>
              <w:pStyle w:val="TableContents"/>
              <w:bidi w:val="0"/>
              <w:spacing w:before="0" w:after="283"/>
              <w:jc w:val="left"/>
              <w:rPr/>
            </w:pPr>
            <w:r>
              <w:rPr/>
              <w:t>Super Administrator</w:t>
            </w:r>
          </w:p>
        </w:tc>
        <w:tc>
          <w:tcPr>
            <w:tcW w:w="4553" w:type="dxa"/>
            <w:tcBorders/>
            <w:vAlign w:val="center"/>
          </w:tcPr>
          <w:p>
            <w:pPr>
              <w:pStyle w:val="TableContents"/>
              <w:bidi w:val="0"/>
              <w:spacing w:before="0" w:after="283"/>
              <w:jc w:val="left"/>
              <w:rPr/>
            </w:pPr>
            <w:r>
              <w:rPr/>
              <w:t>Active — full system configuration</w:t>
            </w:r>
          </w:p>
        </w:tc>
      </w:tr>
      <w:tr>
        <w:trPr/>
        <w:tc>
          <w:tcPr>
            <w:tcW w:w="6786" w:type="dxa"/>
            <w:tcBorders/>
            <w:vAlign w:val="center"/>
          </w:tcPr>
          <w:p>
            <w:pPr>
              <w:pStyle w:val="TableContents"/>
              <w:bidi w:val="0"/>
              <w:spacing w:before="0" w:after="283"/>
              <w:jc w:val="left"/>
              <w:rPr/>
            </w:pPr>
            <w:r>
              <w:rPr/>
              <w:t>Group CEO</w:t>
            </w:r>
          </w:p>
        </w:tc>
        <w:tc>
          <w:tcPr>
            <w:tcW w:w="4553" w:type="dxa"/>
            <w:tcBorders/>
            <w:vAlign w:val="center"/>
          </w:tcPr>
          <w:p>
            <w:pPr>
              <w:pStyle w:val="TableContents"/>
              <w:bidi w:val="0"/>
              <w:spacing w:before="0" w:after="283"/>
              <w:jc w:val="left"/>
              <w:rPr/>
            </w:pPr>
            <w:r>
              <w:rPr/>
              <w:t>Active — Group-wide dashboard visibility</w:t>
            </w:r>
          </w:p>
        </w:tc>
      </w:tr>
      <w:tr>
        <w:trPr/>
        <w:tc>
          <w:tcPr>
            <w:tcW w:w="6786" w:type="dxa"/>
            <w:tcBorders/>
            <w:vAlign w:val="center"/>
          </w:tcPr>
          <w:p>
            <w:pPr>
              <w:pStyle w:val="TableContents"/>
              <w:bidi w:val="0"/>
              <w:spacing w:before="0" w:after="283"/>
              <w:jc w:val="left"/>
              <w:rPr/>
            </w:pPr>
            <w:r>
              <w:rPr/>
              <w:t>Managing Director</w:t>
            </w:r>
          </w:p>
        </w:tc>
        <w:tc>
          <w:tcPr>
            <w:tcW w:w="4553" w:type="dxa"/>
            <w:tcBorders/>
            <w:vAlign w:val="center"/>
          </w:tcPr>
          <w:p>
            <w:pPr>
              <w:pStyle w:val="TableContents"/>
              <w:bidi w:val="0"/>
              <w:spacing w:before="0" w:after="283"/>
              <w:jc w:val="left"/>
              <w:rPr/>
            </w:pPr>
            <w:r>
              <w:rPr/>
              <w:t>Active — Group-wide visibility and approvals</w:t>
            </w:r>
          </w:p>
        </w:tc>
      </w:tr>
      <w:tr>
        <w:trPr/>
        <w:tc>
          <w:tcPr>
            <w:tcW w:w="6786" w:type="dxa"/>
            <w:tcBorders/>
            <w:vAlign w:val="center"/>
          </w:tcPr>
          <w:p>
            <w:pPr>
              <w:pStyle w:val="TableContents"/>
              <w:bidi w:val="0"/>
              <w:spacing w:before="0" w:after="283"/>
              <w:jc w:val="left"/>
              <w:rPr/>
            </w:pPr>
            <w:r>
              <w:rPr/>
              <w:t>Chief Financial Officer</w:t>
            </w:r>
          </w:p>
        </w:tc>
        <w:tc>
          <w:tcPr>
            <w:tcW w:w="4553" w:type="dxa"/>
            <w:tcBorders/>
            <w:vAlign w:val="center"/>
          </w:tcPr>
          <w:p>
            <w:pPr>
              <w:pStyle w:val="TableContents"/>
              <w:bidi w:val="0"/>
              <w:spacing w:before="0" w:after="283"/>
              <w:jc w:val="left"/>
              <w:rPr/>
            </w:pPr>
            <w:r>
              <w:rPr/>
              <w:t>Active — financial/accounting visibility</w:t>
            </w:r>
          </w:p>
        </w:tc>
      </w:tr>
      <w:tr>
        <w:trPr/>
        <w:tc>
          <w:tcPr>
            <w:tcW w:w="6786" w:type="dxa"/>
            <w:tcBorders/>
            <w:vAlign w:val="center"/>
          </w:tcPr>
          <w:p>
            <w:pPr>
              <w:pStyle w:val="TableContents"/>
              <w:bidi w:val="0"/>
              <w:spacing w:before="0" w:after="283"/>
              <w:jc w:val="left"/>
              <w:rPr/>
            </w:pPr>
            <w:r>
              <w:rPr/>
              <w:t>Finance Manager / Accountant</w:t>
            </w:r>
          </w:p>
        </w:tc>
        <w:tc>
          <w:tcPr>
            <w:tcW w:w="4553" w:type="dxa"/>
            <w:tcBorders/>
            <w:vAlign w:val="center"/>
          </w:tcPr>
          <w:p>
            <w:pPr>
              <w:pStyle w:val="TableContents"/>
              <w:bidi w:val="0"/>
              <w:spacing w:before="0" w:after="283"/>
              <w:jc w:val="left"/>
              <w:rPr/>
            </w:pPr>
            <w:r>
              <w:rPr/>
              <w:t>Active — basic accounting module</w:t>
            </w:r>
          </w:p>
        </w:tc>
      </w:tr>
      <w:tr>
        <w:trPr/>
        <w:tc>
          <w:tcPr>
            <w:tcW w:w="6786" w:type="dxa"/>
            <w:tcBorders/>
            <w:vAlign w:val="center"/>
          </w:tcPr>
          <w:p>
            <w:pPr>
              <w:pStyle w:val="TableContents"/>
              <w:bidi w:val="0"/>
              <w:spacing w:before="0" w:after="283"/>
              <w:jc w:val="left"/>
              <w:rPr/>
            </w:pPr>
            <w:r>
              <w:rPr/>
              <w:t>HR Manager</w:t>
            </w:r>
          </w:p>
        </w:tc>
        <w:tc>
          <w:tcPr>
            <w:tcW w:w="4553" w:type="dxa"/>
            <w:tcBorders/>
            <w:vAlign w:val="center"/>
          </w:tcPr>
          <w:p>
            <w:pPr>
              <w:pStyle w:val="TableContents"/>
              <w:bidi w:val="0"/>
              <w:spacing w:before="0" w:after="283"/>
              <w:jc w:val="left"/>
              <w:rPr/>
            </w:pPr>
            <w:r>
              <w:rPr/>
              <w:t>Active — employee records (recruitment/leave/payroll deferred)</w:t>
            </w:r>
          </w:p>
        </w:tc>
      </w:tr>
      <w:tr>
        <w:trPr/>
        <w:tc>
          <w:tcPr>
            <w:tcW w:w="6786" w:type="dxa"/>
            <w:tcBorders/>
            <w:vAlign w:val="center"/>
          </w:tcPr>
          <w:p>
            <w:pPr>
              <w:pStyle w:val="TableContents"/>
              <w:bidi w:val="0"/>
              <w:spacing w:before="0" w:after="283"/>
              <w:jc w:val="left"/>
              <w:rPr/>
            </w:pPr>
            <w:r>
              <w:rPr/>
              <w:t>Branch Manager</w:t>
            </w:r>
          </w:p>
        </w:tc>
        <w:tc>
          <w:tcPr>
            <w:tcW w:w="4553" w:type="dxa"/>
            <w:tcBorders/>
            <w:vAlign w:val="center"/>
          </w:tcPr>
          <w:p>
            <w:pPr>
              <w:pStyle w:val="TableContents"/>
              <w:bidi w:val="0"/>
              <w:spacing w:before="0" w:after="283"/>
              <w:jc w:val="left"/>
              <w:rPr/>
            </w:pPr>
            <w:r>
              <w:rPr/>
              <w:t>Active — branch-scoped visibility</w:t>
            </w:r>
          </w:p>
        </w:tc>
      </w:tr>
      <w:tr>
        <w:trPr/>
        <w:tc>
          <w:tcPr>
            <w:tcW w:w="6786" w:type="dxa"/>
            <w:tcBorders/>
            <w:vAlign w:val="center"/>
          </w:tcPr>
          <w:p>
            <w:pPr>
              <w:pStyle w:val="TableContents"/>
              <w:bidi w:val="0"/>
              <w:spacing w:before="0" w:after="283"/>
              <w:jc w:val="left"/>
              <w:rPr/>
            </w:pPr>
            <w:r>
              <w:rPr/>
              <w:t>IT Administrator</w:t>
            </w:r>
          </w:p>
        </w:tc>
        <w:tc>
          <w:tcPr>
            <w:tcW w:w="4553" w:type="dxa"/>
            <w:tcBorders/>
            <w:vAlign w:val="center"/>
          </w:tcPr>
          <w:p>
            <w:pPr>
              <w:pStyle w:val="TableContents"/>
              <w:bidi w:val="0"/>
              <w:spacing w:before="0" w:after="283"/>
              <w:jc w:val="left"/>
              <w:rPr/>
            </w:pPr>
            <w:r>
              <w:rPr/>
              <w:t>Active — user/role administration</w:t>
            </w:r>
          </w:p>
        </w:tc>
      </w:tr>
      <w:tr>
        <w:trPr/>
        <w:tc>
          <w:tcPr>
            <w:tcW w:w="6786" w:type="dxa"/>
            <w:tcBorders/>
            <w:vAlign w:val="center"/>
          </w:tcPr>
          <w:p>
            <w:pPr>
              <w:pStyle w:val="TableContents"/>
              <w:bidi w:val="0"/>
              <w:spacing w:before="0" w:after="283"/>
              <w:jc w:val="left"/>
              <w:rPr/>
            </w:pPr>
            <w:r>
              <w:rPr/>
              <w:t>Employee</w:t>
            </w:r>
          </w:p>
        </w:tc>
        <w:tc>
          <w:tcPr>
            <w:tcW w:w="4553" w:type="dxa"/>
            <w:tcBorders/>
            <w:vAlign w:val="center"/>
          </w:tcPr>
          <w:p>
            <w:pPr>
              <w:pStyle w:val="TableContents"/>
              <w:bidi w:val="0"/>
              <w:spacing w:before="0" w:after="283"/>
              <w:jc w:val="left"/>
              <w:rPr/>
            </w:pPr>
            <w:r>
              <w:rPr/>
              <w:t>Active — own profile only</w:t>
            </w:r>
          </w:p>
        </w:tc>
      </w:tr>
      <w:tr>
        <w:trPr/>
        <w:tc>
          <w:tcPr>
            <w:tcW w:w="6786" w:type="dxa"/>
            <w:tcBorders/>
            <w:vAlign w:val="center"/>
          </w:tcPr>
          <w:p>
            <w:pPr>
              <w:pStyle w:val="TableContents"/>
              <w:bidi w:val="0"/>
              <w:spacing w:before="0" w:after="283"/>
              <w:jc w:val="left"/>
              <w:rPr/>
            </w:pPr>
            <w:r>
              <w:rPr/>
              <w:t>Auditor / External Auditor</w:t>
            </w:r>
          </w:p>
        </w:tc>
        <w:tc>
          <w:tcPr>
            <w:tcW w:w="4553" w:type="dxa"/>
            <w:tcBorders/>
            <w:vAlign w:val="center"/>
          </w:tcPr>
          <w:p>
            <w:pPr>
              <w:pStyle w:val="TableContents"/>
              <w:bidi w:val="0"/>
              <w:spacing w:before="0" w:after="283"/>
              <w:jc w:val="left"/>
              <w:rPr/>
            </w:pPr>
            <w:r>
              <w:rPr/>
              <w:t>Active — read-only access to audit trail and ledger</w:t>
            </w:r>
          </w:p>
        </w:tc>
      </w:tr>
      <w:tr>
        <w:trPr/>
        <w:tc>
          <w:tcPr>
            <w:tcW w:w="6786" w:type="dxa"/>
            <w:tcBorders/>
            <w:vAlign w:val="center"/>
          </w:tcPr>
          <w:p>
            <w:pPr>
              <w:pStyle w:val="TableContents"/>
              <w:bidi w:val="0"/>
              <w:spacing w:before="0" w:after="283"/>
              <w:jc w:val="left"/>
              <w:rPr/>
            </w:pPr>
            <w:r>
              <w:rPr/>
              <w:t>Board Member</w:t>
            </w:r>
          </w:p>
        </w:tc>
        <w:tc>
          <w:tcPr>
            <w:tcW w:w="4553" w:type="dxa"/>
            <w:tcBorders/>
            <w:vAlign w:val="center"/>
          </w:tcPr>
          <w:p>
            <w:pPr>
              <w:pStyle w:val="TableContents"/>
              <w:bidi w:val="0"/>
              <w:spacing w:before="0" w:after="283"/>
              <w:jc w:val="left"/>
              <w:rPr/>
            </w:pPr>
            <w:r>
              <w:rPr/>
              <w:t>Active — Group dashboard, read-only</w:t>
            </w:r>
          </w:p>
        </w:tc>
      </w:tr>
      <w:tr>
        <w:trPr/>
        <w:tc>
          <w:tcPr>
            <w:tcW w:w="6786" w:type="dxa"/>
            <w:tcBorders/>
            <w:vAlign w:val="center"/>
          </w:tcPr>
          <w:p>
            <w:pPr>
              <w:pStyle w:val="TableContents"/>
              <w:bidi w:val="0"/>
              <w:spacing w:before="0" w:after="283"/>
              <w:jc w:val="left"/>
              <w:rPr/>
            </w:pPr>
            <w:r>
              <w:rPr/>
              <w:t>Read-only User</w:t>
            </w:r>
          </w:p>
        </w:tc>
        <w:tc>
          <w:tcPr>
            <w:tcW w:w="4553" w:type="dxa"/>
            <w:tcBorders/>
            <w:vAlign w:val="center"/>
          </w:tcPr>
          <w:p>
            <w:pPr>
              <w:pStyle w:val="TableContents"/>
              <w:bidi w:val="0"/>
              <w:spacing w:before="0" w:after="283"/>
              <w:jc w:val="left"/>
              <w:rPr/>
            </w:pPr>
            <w:r>
              <w:rPr/>
              <w:t>Active — configurable read-only access</w:t>
            </w:r>
          </w:p>
        </w:tc>
      </w:tr>
      <w:tr>
        <w:trPr/>
        <w:tc>
          <w:tcPr>
            <w:tcW w:w="6786" w:type="dxa"/>
            <w:tcBorders/>
            <w:vAlign w:val="center"/>
          </w:tcPr>
          <w:p>
            <w:pPr>
              <w:pStyle w:val="TableContents"/>
              <w:bidi w:val="0"/>
              <w:spacing w:before="0" w:after="283"/>
              <w:jc w:val="left"/>
              <w:rPr/>
            </w:pPr>
            <w:r>
              <w:rPr/>
              <w:t>Procurement Manager, Operations Manager, Sales Manager, Inventory/Warehouse Manager, Legal Officer, Customer Service Officer, Investor</w:t>
            </w:r>
          </w:p>
        </w:tc>
        <w:tc>
          <w:tcPr>
            <w:tcW w:w="4553" w:type="dxa"/>
            <w:tcBorders/>
            <w:vAlign w:val="center"/>
          </w:tcPr>
          <w:p>
            <w:pPr>
              <w:pStyle w:val="TableContents"/>
              <w:bidi w:val="0"/>
              <w:spacing w:before="0" w:after="283"/>
              <w:jc w:val="left"/>
              <w:rPr/>
            </w:pPr>
            <w:r>
              <w:rPr/>
              <w:t>Defined in the role model now; modules they depend on are delivered in Phases 2–4</w:t>
            </w:r>
          </w:p>
        </w:tc>
      </w:tr>
    </w:tbl>
    <w:p>
      <w:pPr>
        <w:pStyle w:val="Heading2"/>
        <w:bidi w:val="0"/>
        <w:jc w:val="left"/>
        <w:rPr/>
      </w:pPr>
      <w:r>
        <w:rPr/>
        <w:t>3. Stakeholders and User Roles</w:t>
      </w:r>
    </w:p>
    <w:p>
      <w:pPr>
        <w:pStyle w:val="Heading3"/>
        <w:bidi w:val="0"/>
        <w:jc w:val="left"/>
        <w:rPr/>
      </w:pPr>
      <w:r>
        <w:rPr/>
        <w:t>3.1 Governance</w:t>
      </w:r>
    </w:p>
    <w:tbl>
      <w:tblPr>
        <w:tblW w:w="11339" w:type="dxa"/>
        <w:jc w:val="left"/>
        <w:tblInd w:w="28" w:type="dxa"/>
        <w:tblLayout w:type="fixed"/>
        <w:tblCellMar>
          <w:top w:w="28" w:type="dxa"/>
          <w:left w:w="28" w:type="dxa"/>
          <w:bottom w:w="28" w:type="dxa"/>
          <w:right w:w="28" w:type="dxa"/>
        </w:tblCellMar>
      </w:tblPr>
      <w:tblGrid>
        <w:gridCol w:w="2044"/>
        <w:gridCol w:w="3254"/>
        <w:gridCol w:w="6041"/>
      </w:tblGrid>
      <w:tr>
        <w:trPr/>
        <w:tc>
          <w:tcPr>
            <w:tcW w:w="2044" w:type="dxa"/>
            <w:tcBorders/>
            <w:vAlign w:val="center"/>
          </w:tcPr>
          <w:p>
            <w:pPr>
              <w:pStyle w:val="TableHeading"/>
              <w:suppressLineNumbers/>
              <w:shd w:fill="1F3864" w:val="clear"/>
              <w:bidi w:val="0"/>
              <w:spacing w:before="0" w:after="283"/>
              <w:jc w:val="left"/>
              <w:rPr/>
            </w:pPr>
            <w:r>
              <w:rPr/>
              <w:t>Name</w:t>
            </w:r>
          </w:p>
        </w:tc>
        <w:tc>
          <w:tcPr>
            <w:tcW w:w="3254" w:type="dxa"/>
            <w:tcBorders/>
            <w:vAlign w:val="center"/>
          </w:tcPr>
          <w:p>
            <w:pPr>
              <w:pStyle w:val="TableHeading"/>
              <w:suppressLineNumbers/>
              <w:shd w:fill="1F3864" w:val="clear"/>
              <w:bidi w:val="0"/>
              <w:spacing w:before="0" w:after="283"/>
              <w:jc w:val="left"/>
              <w:rPr/>
            </w:pPr>
            <w:r>
              <w:rPr/>
              <w:t>Role</w:t>
            </w:r>
          </w:p>
        </w:tc>
        <w:tc>
          <w:tcPr>
            <w:tcW w:w="6041" w:type="dxa"/>
            <w:tcBorders/>
            <w:vAlign w:val="center"/>
          </w:tcPr>
          <w:p>
            <w:pPr>
              <w:pStyle w:val="TableHeading"/>
              <w:suppressLineNumbers/>
              <w:shd w:fill="1F3864" w:val="clear"/>
              <w:bidi w:val="0"/>
              <w:spacing w:before="0" w:after="283"/>
              <w:jc w:val="left"/>
              <w:rPr/>
            </w:pPr>
            <w:r>
              <w:rPr/>
              <w:t>Relevance to This SRS</w:t>
            </w:r>
          </w:p>
        </w:tc>
      </w:tr>
      <w:tr>
        <w:trPr/>
        <w:tc>
          <w:tcPr>
            <w:tcW w:w="2044" w:type="dxa"/>
            <w:tcBorders/>
            <w:vAlign w:val="center"/>
          </w:tcPr>
          <w:p>
            <w:pPr>
              <w:pStyle w:val="TableContents"/>
              <w:bidi w:val="0"/>
              <w:spacing w:before="0" w:after="283"/>
              <w:jc w:val="left"/>
              <w:rPr/>
            </w:pPr>
            <w:r>
              <w:rPr/>
              <w:t>Okurut Mathias</w:t>
            </w:r>
          </w:p>
        </w:tc>
        <w:tc>
          <w:tcPr>
            <w:tcW w:w="3254" w:type="dxa"/>
            <w:tcBorders/>
            <w:vAlign w:val="center"/>
          </w:tcPr>
          <w:p>
            <w:pPr>
              <w:pStyle w:val="TableContents"/>
              <w:bidi w:val="0"/>
              <w:spacing w:before="0" w:after="283"/>
              <w:jc w:val="left"/>
              <w:rPr/>
            </w:pPr>
            <w:r>
              <w:rPr/>
              <w:t>Managing Director</w:t>
            </w:r>
          </w:p>
        </w:tc>
        <w:tc>
          <w:tcPr>
            <w:tcW w:w="6041" w:type="dxa"/>
            <w:tcBorders/>
            <w:vAlign w:val="center"/>
          </w:tcPr>
          <w:p>
            <w:pPr>
              <w:pStyle w:val="TableContents"/>
              <w:bidi w:val="0"/>
              <w:spacing w:before="0" w:after="283"/>
              <w:jc w:val="left"/>
              <w:rPr/>
            </w:pPr>
            <w:r>
              <w:rPr/>
              <w:t>Executive sponsor; approves this SRS as the basis for development</w:t>
            </w:r>
          </w:p>
        </w:tc>
      </w:tr>
      <w:tr>
        <w:trPr/>
        <w:tc>
          <w:tcPr>
            <w:tcW w:w="2044" w:type="dxa"/>
            <w:tcBorders/>
            <w:vAlign w:val="center"/>
          </w:tcPr>
          <w:p>
            <w:pPr>
              <w:pStyle w:val="TableContents"/>
              <w:bidi w:val="0"/>
              <w:spacing w:before="0" w:after="283"/>
              <w:jc w:val="left"/>
              <w:rPr/>
            </w:pPr>
            <w:r>
              <w:rPr/>
              <w:t>Okurut Rhonah Bagonza</w:t>
            </w:r>
          </w:p>
        </w:tc>
        <w:tc>
          <w:tcPr>
            <w:tcW w:w="3254" w:type="dxa"/>
            <w:tcBorders/>
            <w:vAlign w:val="center"/>
          </w:tcPr>
          <w:p>
            <w:pPr>
              <w:pStyle w:val="TableContents"/>
              <w:bidi w:val="0"/>
              <w:spacing w:before="0" w:after="283"/>
              <w:jc w:val="left"/>
              <w:rPr/>
            </w:pPr>
            <w:r>
              <w:rPr/>
              <w:t>Secretary (deceased, per 2019 resolution)</w:t>
            </w:r>
          </w:p>
        </w:tc>
        <w:tc>
          <w:tcPr>
            <w:tcW w:w="6041" w:type="dxa"/>
            <w:tcBorders/>
            <w:vAlign w:val="center"/>
          </w:tcPr>
          <w:p>
            <w:pPr>
              <w:pStyle w:val="TableContents"/>
              <w:bidi w:val="0"/>
              <w:spacing w:before="0" w:after="283"/>
              <w:jc w:val="left"/>
              <w:rPr/>
            </w:pPr>
            <w:r>
              <w:rPr/>
              <w:t>Position to be reconfirmed by the Board — see 03_Feasibility Study, Section 4.4</w:t>
            </w:r>
          </w:p>
        </w:tc>
      </w:tr>
      <w:tr>
        <w:trPr/>
        <w:tc>
          <w:tcPr>
            <w:tcW w:w="2044" w:type="dxa"/>
            <w:tcBorders/>
            <w:vAlign w:val="center"/>
          </w:tcPr>
          <w:p>
            <w:pPr>
              <w:pStyle w:val="TableContents"/>
              <w:bidi w:val="0"/>
              <w:spacing w:before="0" w:after="283"/>
              <w:jc w:val="left"/>
              <w:rPr/>
            </w:pPr>
            <w:r>
              <w:rPr/>
              <w:t>Obeke Godfrey</w:t>
            </w:r>
          </w:p>
        </w:tc>
        <w:tc>
          <w:tcPr>
            <w:tcW w:w="3254" w:type="dxa"/>
            <w:tcBorders/>
            <w:vAlign w:val="center"/>
          </w:tcPr>
          <w:p>
            <w:pPr>
              <w:pStyle w:val="TableContents"/>
              <w:bidi w:val="0"/>
              <w:spacing w:before="0" w:after="283"/>
              <w:jc w:val="left"/>
              <w:rPr/>
            </w:pPr>
            <w:r>
              <w:rPr/>
              <w:t>Director</w:t>
            </w:r>
          </w:p>
        </w:tc>
        <w:tc>
          <w:tcPr>
            <w:tcW w:w="6041" w:type="dxa"/>
            <w:tcBorders/>
            <w:vAlign w:val="center"/>
          </w:tcPr>
          <w:p>
            <w:pPr>
              <w:pStyle w:val="TableContents"/>
              <w:bidi w:val="0"/>
              <w:spacing w:before="0" w:after="283"/>
              <w:jc w:val="left"/>
              <w:rPr/>
            </w:pPr>
            <w:r>
              <w:rPr/>
              <w:t>Prepares and coordinates project documentation</w:t>
            </w:r>
          </w:p>
        </w:tc>
      </w:tr>
    </w:tbl>
    <w:p>
      <w:pPr>
        <w:pStyle w:val="Heading3"/>
        <w:bidi w:val="0"/>
        <w:jc w:val="left"/>
        <w:rPr/>
      </w:pPr>
      <w:r>
        <w:rPr/>
        <w:t>3.2 Phase 1 Module Ownership</w:t>
      </w:r>
    </w:p>
    <w:tbl>
      <w:tblPr>
        <w:tblW w:w="8089" w:type="dxa"/>
        <w:jc w:val="left"/>
        <w:tblInd w:w="28" w:type="dxa"/>
        <w:tblLayout w:type="fixed"/>
        <w:tblCellMar>
          <w:top w:w="28" w:type="dxa"/>
          <w:left w:w="28" w:type="dxa"/>
          <w:bottom w:w="28" w:type="dxa"/>
          <w:right w:w="28" w:type="dxa"/>
        </w:tblCellMar>
      </w:tblPr>
      <w:tblGrid>
        <w:gridCol w:w="3029"/>
        <w:gridCol w:w="5060"/>
      </w:tblGrid>
      <w:tr>
        <w:trPr/>
        <w:tc>
          <w:tcPr>
            <w:tcW w:w="3029" w:type="dxa"/>
            <w:tcBorders/>
            <w:vAlign w:val="center"/>
          </w:tcPr>
          <w:p>
            <w:pPr>
              <w:pStyle w:val="TableHeading"/>
              <w:suppressLineNumbers/>
              <w:shd w:fill="1F3864" w:val="clear"/>
              <w:bidi w:val="0"/>
              <w:spacing w:before="0" w:after="283"/>
              <w:jc w:val="left"/>
              <w:rPr/>
            </w:pPr>
            <w:r>
              <w:rPr/>
              <w:t>Stakeholder</w:t>
            </w:r>
          </w:p>
        </w:tc>
        <w:tc>
          <w:tcPr>
            <w:tcW w:w="5060" w:type="dxa"/>
            <w:tcBorders/>
            <w:vAlign w:val="center"/>
          </w:tcPr>
          <w:p>
            <w:pPr>
              <w:pStyle w:val="TableHeading"/>
              <w:suppressLineNumbers/>
              <w:shd w:fill="1F3864" w:val="clear"/>
              <w:bidi w:val="0"/>
              <w:spacing w:before="0" w:after="283"/>
              <w:jc w:val="left"/>
              <w:rPr/>
            </w:pPr>
            <w:r>
              <w:rPr/>
              <w:t>Owns Requirements For</w:t>
            </w:r>
          </w:p>
        </w:tc>
      </w:tr>
      <w:tr>
        <w:trPr/>
        <w:tc>
          <w:tcPr>
            <w:tcW w:w="3029" w:type="dxa"/>
            <w:tcBorders/>
            <w:vAlign w:val="center"/>
          </w:tcPr>
          <w:p>
            <w:pPr>
              <w:pStyle w:val="TableContents"/>
              <w:bidi w:val="0"/>
              <w:spacing w:before="0" w:after="283"/>
              <w:jc w:val="left"/>
              <w:rPr/>
            </w:pPr>
            <w:r>
              <w:rPr/>
              <w:t>Group CEO / Managing Director</w:t>
            </w:r>
          </w:p>
        </w:tc>
        <w:tc>
          <w:tcPr>
            <w:tcW w:w="5060" w:type="dxa"/>
            <w:tcBorders/>
            <w:vAlign w:val="center"/>
          </w:tcPr>
          <w:p>
            <w:pPr>
              <w:pStyle w:val="TableContents"/>
              <w:bidi w:val="0"/>
              <w:spacing w:before="0" w:after="283"/>
              <w:jc w:val="left"/>
              <w:rPr/>
            </w:pPr>
            <w:r>
              <w:rPr/>
              <w:t>Company/Group structure, consolidated dashboard</w:t>
            </w:r>
          </w:p>
        </w:tc>
      </w:tr>
      <w:tr>
        <w:trPr/>
        <w:tc>
          <w:tcPr>
            <w:tcW w:w="3029" w:type="dxa"/>
            <w:tcBorders/>
            <w:vAlign w:val="center"/>
          </w:tcPr>
          <w:p>
            <w:pPr>
              <w:pStyle w:val="TableContents"/>
              <w:bidi w:val="0"/>
              <w:spacing w:before="0" w:after="283"/>
              <w:jc w:val="left"/>
              <w:rPr/>
            </w:pPr>
            <w:r>
              <w:rPr/>
              <w:t>Finance Manager / Accountant</w:t>
            </w:r>
          </w:p>
        </w:tc>
        <w:tc>
          <w:tcPr>
            <w:tcW w:w="5060" w:type="dxa"/>
            <w:tcBorders/>
            <w:vAlign w:val="center"/>
          </w:tcPr>
          <w:p>
            <w:pPr>
              <w:pStyle w:val="TableContents"/>
              <w:bidi w:val="0"/>
              <w:spacing w:before="0" w:after="283"/>
              <w:jc w:val="left"/>
              <w:rPr/>
            </w:pPr>
            <w:r>
              <w:rPr/>
              <w:t>Chart of accounts, journal entries, trial balance</w:t>
            </w:r>
          </w:p>
        </w:tc>
      </w:tr>
      <w:tr>
        <w:trPr/>
        <w:tc>
          <w:tcPr>
            <w:tcW w:w="3029" w:type="dxa"/>
            <w:tcBorders/>
            <w:vAlign w:val="center"/>
          </w:tcPr>
          <w:p>
            <w:pPr>
              <w:pStyle w:val="TableContents"/>
              <w:bidi w:val="0"/>
              <w:spacing w:before="0" w:after="283"/>
              <w:jc w:val="left"/>
              <w:rPr/>
            </w:pPr>
            <w:r>
              <w:rPr/>
              <w:t>HR Manager</w:t>
            </w:r>
          </w:p>
        </w:tc>
        <w:tc>
          <w:tcPr>
            <w:tcW w:w="5060" w:type="dxa"/>
            <w:tcBorders/>
            <w:vAlign w:val="center"/>
          </w:tcPr>
          <w:p>
            <w:pPr>
              <w:pStyle w:val="TableContents"/>
              <w:bidi w:val="0"/>
              <w:spacing w:before="0" w:after="283"/>
              <w:jc w:val="left"/>
              <w:rPr/>
            </w:pPr>
            <w:r>
              <w:rPr/>
              <w:t>Employee records</w:t>
            </w:r>
          </w:p>
        </w:tc>
      </w:tr>
      <w:tr>
        <w:trPr/>
        <w:tc>
          <w:tcPr>
            <w:tcW w:w="3029" w:type="dxa"/>
            <w:tcBorders/>
            <w:vAlign w:val="center"/>
          </w:tcPr>
          <w:p>
            <w:pPr>
              <w:pStyle w:val="TableContents"/>
              <w:bidi w:val="0"/>
              <w:spacing w:before="0" w:after="283"/>
              <w:jc w:val="left"/>
              <w:rPr/>
            </w:pPr>
            <w:r>
              <w:rPr/>
              <w:t>Sales / Branch staff</w:t>
            </w:r>
          </w:p>
        </w:tc>
        <w:tc>
          <w:tcPr>
            <w:tcW w:w="5060" w:type="dxa"/>
            <w:tcBorders/>
            <w:vAlign w:val="center"/>
          </w:tcPr>
          <w:p>
            <w:pPr>
              <w:pStyle w:val="TableContents"/>
              <w:bidi w:val="0"/>
              <w:spacing w:before="0" w:after="283"/>
              <w:jc w:val="left"/>
              <w:rPr/>
            </w:pPr>
            <w:r>
              <w:rPr/>
              <w:t>Customer records</w:t>
            </w:r>
          </w:p>
        </w:tc>
      </w:tr>
      <w:tr>
        <w:trPr/>
        <w:tc>
          <w:tcPr>
            <w:tcW w:w="3029" w:type="dxa"/>
            <w:tcBorders/>
            <w:vAlign w:val="center"/>
          </w:tcPr>
          <w:p>
            <w:pPr>
              <w:pStyle w:val="TableContents"/>
              <w:bidi w:val="0"/>
              <w:spacing w:before="0" w:after="283"/>
              <w:jc w:val="left"/>
              <w:rPr/>
            </w:pPr>
            <w:r>
              <w:rPr/>
              <w:t>Procurement staff</w:t>
            </w:r>
          </w:p>
        </w:tc>
        <w:tc>
          <w:tcPr>
            <w:tcW w:w="5060" w:type="dxa"/>
            <w:tcBorders/>
            <w:vAlign w:val="center"/>
          </w:tcPr>
          <w:p>
            <w:pPr>
              <w:pStyle w:val="TableContents"/>
              <w:bidi w:val="0"/>
              <w:spacing w:before="0" w:after="283"/>
              <w:jc w:val="left"/>
              <w:rPr/>
            </w:pPr>
            <w:r>
              <w:rPr/>
              <w:t>Supplier and product records</w:t>
            </w:r>
          </w:p>
        </w:tc>
      </w:tr>
      <w:tr>
        <w:trPr/>
        <w:tc>
          <w:tcPr>
            <w:tcW w:w="3029" w:type="dxa"/>
            <w:tcBorders/>
            <w:vAlign w:val="center"/>
          </w:tcPr>
          <w:p>
            <w:pPr>
              <w:pStyle w:val="TableContents"/>
              <w:bidi w:val="0"/>
              <w:spacing w:before="0" w:after="283"/>
              <w:jc w:val="left"/>
              <w:rPr/>
            </w:pPr>
            <w:r>
              <w:rPr/>
              <w:t>IT Administrator</w:t>
            </w:r>
          </w:p>
        </w:tc>
        <w:tc>
          <w:tcPr>
            <w:tcW w:w="5060" w:type="dxa"/>
            <w:tcBorders/>
            <w:vAlign w:val="center"/>
          </w:tcPr>
          <w:p>
            <w:pPr>
              <w:pStyle w:val="TableContents"/>
              <w:bidi w:val="0"/>
              <w:spacing w:before="0" w:after="283"/>
              <w:jc w:val="left"/>
              <w:rPr/>
            </w:pPr>
            <w:r>
              <w:rPr/>
              <w:t>User, role and permission management; audit trail</w:t>
            </w:r>
          </w:p>
        </w:tc>
      </w:tr>
      <w:tr>
        <w:trPr/>
        <w:tc>
          <w:tcPr>
            <w:tcW w:w="3029" w:type="dxa"/>
            <w:tcBorders/>
            <w:vAlign w:val="center"/>
          </w:tcPr>
          <w:p>
            <w:pPr>
              <w:pStyle w:val="TableContents"/>
              <w:bidi w:val="0"/>
              <w:spacing w:before="0" w:after="283"/>
              <w:jc w:val="left"/>
              <w:rPr/>
            </w:pPr>
            <w:r>
              <w:rPr/>
              <w:t>External Auditor</w:t>
            </w:r>
          </w:p>
        </w:tc>
        <w:tc>
          <w:tcPr>
            <w:tcW w:w="5060" w:type="dxa"/>
            <w:tcBorders/>
            <w:vAlign w:val="center"/>
          </w:tcPr>
          <w:p>
            <w:pPr>
              <w:pStyle w:val="TableContents"/>
              <w:bidi w:val="0"/>
              <w:spacing w:before="0" w:after="283"/>
              <w:jc w:val="left"/>
              <w:rPr/>
            </w:pPr>
            <w:r>
              <w:rPr/>
              <w:t>Audit trail completeness and financial record integrity</w:t>
            </w:r>
          </w:p>
        </w:tc>
      </w:tr>
    </w:tbl>
    <w:p>
      <w:pPr>
        <w:pStyle w:val="Heading2"/>
        <w:bidi w:val="0"/>
        <w:jc w:val="left"/>
        <w:rPr/>
      </w:pPr>
      <w:r>
        <w:rPr/>
        <w:t>4. Functional Requirements</w:t>
      </w:r>
    </w:p>
    <w:p>
      <w:pPr>
        <w:pStyle w:val="Heading3"/>
        <w:bidi w:val="0"/>
        <w:jc w:val="left"/>
        <w:rPr/>
      </w:pPr>
      <w:r>
        <w:rPr/>
        <w:t>4.1 Authentication and Session Management</w:t>
      </w:r>
    </w:p>
    <w:tbl>
      <w:tblPr>
        <w:tblW w:w="10382" w:type="dxa"/>
        <w:jc w:val="left"/>
        <w:tblInd w:w="28" w:type="dxa"/>
        <w:tblLayout w:type="fixed"/>
        <w:tblCellMar>
          <w:top w:w="28" w:type="dxa"/>
          <w:left w:w="28" w:type="dxa"/>
          <w:bottom w:w="28" w:type="dxa"/>
          <w:right w:w="28" w:type="dxa"/>
        </w:tblCellMar>
      </w:tblPr>
      <w:tblGrid>
        <w:gridCol w:w="1211"/>
        <w:gridCol w:w="8286"/>
        <w:gridCol w:w="885"/>
      </w:tblGrid>
      <w:tr>
        <w:trPr/>
        <w:tc>
          <w:tcPr>
            <w:tcW w:w="1211" w:type="dxa"/>
            <w:tcBorders/>
            <w:vAlign w:val="center"/>
          </w:tcPr>
          <w:p>
            <w:pPr>
              <w:pStyle w:val="TableHeading"/>
              <w:suppressLineNumbers/>
              <w:shd w:fill="1F3864" w:val="clear"/>
              <w:bidi w:val="0"/>
              <w:spacing w:before="0" w:after="283"/>
              <w:jc w:val="left"/>
              <w:rPr/>
            </w:pPr>
            <w:r>
              <w:rPr/>
              <w:t>ID</w:t>
            </w:r>
          </w:p>
        </w:tc>
        <w:tc>
          <w:tcPr>
            <w:tcW w:w="8286" w:type="dxa"/>
            <w:tcBorders/>
            <w:vAlign w:val="center"/>
          </w:tcPr>
          <w:p>
            <w:pPr>
              <w:pStyle w:val="TableHeading"/>
              <w:suppressLineNumbers/>
              <w:shd w:fill="1F3864" w:val="clear"/>
              <w:bidi w:val="0"/>
              <w:spacing w:before="0" w:after="283"/>
              <w:jc w:val="left"/>
              <w:rPr/>
            </w:pPr>
            <w:r>
              <w:rPr/>
              <w:t>Requirement</w:t>
            </w:r>
          </w:p>
        </w:tc>
        <w:tc>
          <w:tcPr>
            <w:tcW w:w="885" w:type="dxa"/>
            <w:tcBorders/>
            <w:vAlign w:val="center"/>
          </w:tcPr>
          <w:p>
            <w:pPr>
              <w:pStyle w:val="TableHeading"/>
              <w:suppressLineNumbers/>
              <w:shd w:fill="1F3864" w:val="clear"/>
              <w:bidi w:val="0"/>
              <w:spacing w:before="0" w:after="283"/>
              <w:jc w:val="left"/>
              <w:rPr/>
            </w:pPr>
            <w:r>
              <w:rPr/>
              <w:t>Priority</w:t>
            </w:r>
          </w:p>
        </w:tc>
      </w:tr>
      <w:tr>
        <w:trPr/>
        <w:tc>
          <w:tcPr>
            <w:tcW w:w="1211" w:type="dxa"/>
            <w:tcBorders/>
            <w:vAlign w:val="center"/>
          </w:tcPr>
          <w:p>
            <w:pPr>
              <w:pStyle w:val="TableContents"/>
              <w:bidi w:val="0"/>
              <w:spacing w:before="0" w:after="283"/>
              <w:jc w:val="left"/>
              <w:rPr/>
            </w:pPr>
            <w:r>
              <w:rPr/>
              <w:t>FR-AUTH-01</w:t>
            </w:r>
          </w:p>
        </w:tc>
        <w:tc>
          <w:tcPr>
            <w:tcW w:w="8286" w:type="dxa"/>
            <w:tcBorders/>
            <w:vAlign w:val="center"/>
          </w:tcPr>
          <w:p>
            <w:pPr>
              <w:pStyle w:val="TableContents"/>
              <w:bidi w:val="0"/>
              <w:spacing w:before="0" w:after="283"/>
              <w:jc w:val="left"/>
              <w:rPr/>
            </w:pPr>
            <w:r>
              <w:rPr/>
              <w:t>The system shall require a unique username/email and password to log in.</w:t>
            </w:r>
          </w:p>
        </w:tc>
        <w:tc>
          <w:tcPr>
            <w:tcW w:w="885" w:type="dxa"/>
            <w:tcBorders/>
            <w:vAlign w:val="center"/>
          </w:tcPr>
          <w:p>
            <w:pPr>
              <w:pStyle w:val="TableContents"/>
              <w:bidi w:val="0"/>
              <w:spacing w:before="0" w:after="283"/>
              <w:jc w:val="left"/>
              <w:rPr/>
            </w:pPr>
            <w:r>
              <w:rPr/>
              <w:t>Must</w:t>
            </w:r>
          </w:p>
        </w:tc>
      </w:tr>
      <w:tr>
        <w:trPr/>
        <w:tc>
          <w:tcPr>
            <w:tcW w:w="1211" w:type="dxa"/>
            <w:tcBorders/>
            <w:vAlign w:val="center"/>
          </w:tcPr>
          <w:p>
            <w:pPr>
              <w:pStyle w:val="TableContents"/>
              <w:bidi w:val="0"/>
              <w:spacing w:before="0" w:after="283"/>
              <w:jc w:val="left"/>
              <w:rPr/>
            </w:pPr>
            <w:r>
              <w:rPr/>
              <w:t>FR-AUTH-02</w:t>
            </w:r>
          </w:p>
        </w:tc>
        <w:tc>
          <w:tcPr>
            <w:tcW w:w="8286" w:type="dxa"/>
            <w:tcBorders/>
            <w:vAlign w:val="center"/>
          </w:tcPr>
          <w:p>
            <w:pPr>
              <w:pStyle w:val="TableContents"/>
              <w:bidi w:val="0"/>
              <w:spacing w:before="0" w:after="283"/>
              <w:jc w:val="left"/>
              <w:rPr/>
            </w:pPr>
            <w:r>
              <w:rPr/>
              <w:t>The system shall allow a user to log out, ending their session.</w:t>
            </w:r>
          </w:p>
        </w:tc>
        <w:tc>
          <w:tcPr>
            <w:tcW w:w="885" w:type="dxa"/>
            <w:tcBorders/>
            <w:vAlign w:val="center"/>
          </w:tcPr>
          <w:p>
            <w:pPr>
              <w:pStyle w:val="TableContents"/>
              <w:bidi w:val="0"/>
              <w:spacing w:before="0" w:after="283"/>
              <w:jc w:val="left"/>
              <w:rPr/>
            </w:pPr>
            <w:r>
              <w:rPr/>
              <w:t>Must</w:t>
            </w:r>
          </w:p>
        </w:tc>
      </w:tr>
      <w:tr>
        <w:trPr/>
        <w:tc>
          <w:tcPr>
            <w:tcW w:w="1211" w:type="dxa"/>
            <w:tcBorders/>
            <w:vAlign w:val="center"/>
          </w:tcPr>
          <w:p>
            <w:pPr>
              <w:pStyle w:val="TableContents"/>
              <w:bidi w:val="0"/>
              <w:spacing w:before="0" w:after="283"/>
              <w:jc w:val="left"/>
              <w:rPr/>
            </w:pPr>
            <w:r>
              <w:rPr/>
              <w:t>FR-AUTH-03</w:t>
            </w:r>
          </w:p>
        </w:tc>
        <w:tc>
          <w:tcPr>
            <w:tcW w:w="8286" w:type="dxa"/>
            <w:tcBorders/>
            <w:vAlign w:val="center"/>
          </w:tcPr>
          <w:p>
            <w:pPr>
              <w:pStyle w:val="TableContents"/>
              <w:bidi w:val="0"/>
              <w:spacing w:before="0" w:after="283"/>
              <w:jc w:val="left"/>
              <w:rPr/>
            </w:pPr>
            <w:r>
              <w:rPr/>
              <w:t>The system shall provide a self-service password reset mechanism.</w:t>
            </w:r>
          </w:p>
        </w:tc>
        <w:tc>
          <w:tcPr>
            <w:tcW w:w="885" w:type="dxa"/>
            <w:tcBorders/>
            <w:vAlign w:val="center"/>
          </w:tcPr>
          <w:p>
            <w:pPr>
              <w:pStyle w:val="TableContents"/>
              <w:bidi w:val="0"/>
              <w:spacing w:before="0" w:after="283"/>
              <w:jc w:val="left"/>
              <w:rPr/>
            </w:pPr>
            <w:r>
              <w:rPr/>
              <w:t>Must</w:t>
            </w:r>
          </w:p>
        </w:tc>
      </w:tr>
      <w:tr>
        <w:trPr/>
        <w:tc>
          <w:tcPr>
            <w:tcW w:w="1211" w:type="dxa"/>
            <w:tcBorders/>
            <w:vAlign w:val="center"/>
          </w:tcPr>
          <w:p>
            <w:pPr>
              <w:pStyle w:val="TableContents"/>
              <w:bidi w:val="0"/>
              <w:spacing w:before="0" w:after="283"/>
              <w:jc w:val="left"/>
              <w:rPr/>
            </w:pPr>
            <w:r>
              <w:rPr/>
              <w:t>FR-AUTH-04</w:t>
            </w:r>
          </w:p>
        </w:tc>
        <w:tc>
          <w:tcPr>
            <w:tcW w:w="8286" w:type="dxa"/>
            <w:tcBorders/>
            <w:vAlign w:val="center"/>
          </w:tcPr>
          <w:p>
            <w:pPr>
              <w:pStyle w:val="TableContents"/>
              <w:bidi w:val="0"/>
              <w:spacing w:before="0" w:after="283"/>
              <w:jc w:val="left"/>
              <w:rPr/>
            </w:pPr>
            <w:r>
              <w:rPr/>
              <w:t>The system shall enforce a configurable password policy (minimum length/complexity).</w:t>
            </w:r>
          </w:p>
        </w:tc>
        <w:tc>
          <w:tcPr>
            <w:tcW w:w="885" w:type="dxa"/>
            <w:tcBorders/>
            <w:vAlign w:val="center"/>
          </w:tcPr>
          <w:p>
            <w:pPr>
              <w:pStyle w:val="TableContents"/>
              <w:bidi w:val="0"/>
              <w:spacing w:before="0" w:after="283"/>
              <w:jc w:val="left"/>
              <w:rPr/>
            </w:pPr>
            <w:r>
              <w:rPr/>
              <w:t>Must</w:t>
            </w:r>
          </w:p>
        </w:tc>
      </w:tr>
      <w:tr>
        <w:trPr/>
        <w:tc>
          <w:tcPr>
            <w:tcW w:w="1211" w:type="dxa"/>
            <w:tcBorders/>
            <w:vAlign w:val="center"/>
          </w:tcPr>
          <w:p>
            <w:pPr>
              <w:pStyle w:val="TableContents"/>
              <w:bidi w:val="0"/>
              <w:spacing w:before="0" w:after="283"/>
              <w:jc w:val="left"/>
              <w:rPr/>
            </w:pPr>
            <w:r>
              <w:rPr/>
              <w:t>FR-AUTH-05</w:t>
            </w:r>
          </w:p>
        </w:tc>
        <w:tc>
          <w:tcPr>
            <w:tcW w:w="8286" w:type="dxa"/>
            <w:tcBorders/>
            <w:vAlign w:val="center"/>
          </w:tcPr>
          <w:p>
            <w:pPr>
              <w:pStyle w:val="TableContents"/>
              <w:bidi w:val="0"/>
              <w:spacing w:before="0" w:after="283"/>
              <w:jc w:val="left"/>
              <w:rPr/>
            </w:pPr>
            <w:r>
              <w:rPr/>
              <w:t>The system shall automatically end an inactive session after a configurable timeout.</w:t>
            </w:r>
          </w:p>
        </w:tc>
        <w:tc>
          <w:tcPr>
            <w:tcW w:w="885" w:type="dxa"/>
            <w:tcBorders/>
            <w:vAlign w:val="center"/>
          </w:tcPr>
          <w:p>
            <w:pPr>
              <w:pStyle w:val="TableContents"/>
              <w:bidi w:val="0"/>
              <w:spacing w:before="0" w:after="283"/>
              <w:jc w:val="left"/>
              <w:rPr/>
            </w:pPr>
            <w:r>
              <w:rPr/>
              <w:t>Should</w:t>
            </w:r>
          </w:p>
        </w:tc>
      </w:tr>
      <w:tr>
        <w:trPr/>
        <w:tc>
          <w:tcPr>
            <w:tcW w:w="1211" w:type="dxa"/>
            <w:tcBorders/>
            <w:vAlign w:val="center"/>
          </w:tcPr>
          <w:p>
            <w:pPr>
              <w:pStyle w:val="TableContents"/>
              <w:bidi w:val="0"/>
              <w:spacing w:before="0" w:after="283"/>
              <w:jc w:val="left"/>
              <w:rPr/>
            </w:pPr>
            <w:r>
              <w:rPr/>
              <w:t>FR-AUTH-06</w:t>
            </w:r>
          </w:p>
        </w:tc>
        <w:tc>
          <w:tcPr>
            <w:tcW w:w="8286" w:type="dxa"/>
            <w:tcBorders/>
            <w:vAlign w:val="center"/>
          </w:tcPr>
          <w:p>
            <w:pPr>
              <w:pStyle w:val="TableContents"/>
              <w:bidi w:val="0"/>
              <w:spacing w:before="0" w:after="283"/>
              <w:jc w:val="left"/>
              <w:rPr/>
            </w:pPr>
            <w:r>
              <w:rPr/>
              <w:t>The system shall lock a user account after a configurable number of failed login attempts.</w:t>
            </w:r>
          </w:p>
        </w:tc>
        <w:tc>
          <w:tcPr>
            <w:tcW w:w="885" w:type="dxa"/>
            <w:tcBorders/>
            <w:vAlign w:val="center"/>
          </w:tcPr>
          <w:p>
            <w:pPr>
              <w:pStyle w:val="TableContents"/>
              <w:bidi w:val="0"/>
              <w:spacing w:before="0" w:after="283"/>
              <w:jc w:val="left"/>
              <w:rPr/>
            </w:pPr>
            <w:r>
              <w:rPr/>
              <w:t>Should</w:t>
            </w:r>
          </w:p>
        </w:tc>
      </w:tr>
    </w:tbl>
    <w:p>
      <w:pPr>
        <w:pStyle w:val="Heading3"/>
        <w:bidi w:val="0"/>
        <w:jc w:val="left"/>
        <w:rPr/>
      </w:pPr>
      <w:r>
        <w:rPr/>
        <w:t>4.2 Company and Group Management</w:t>
      </w:r>
    </w:p>
    <w:tbl>
      <w:tblPr>
        <w:tblW w:w="11339" w:type="dxa"/>
        <w:jc w:val="left"/>
        <w:tblInd w:w="28" w:type="dxa"/>
        <w:tblLayout w:type="fixed"/>
        <w:tblCellMar>
          <w:top w:w="28" w:type="dxa"/>
          <w:left w:w="28" w:type="dxa"/>
          <w:bottom w:w="28" w:type="dxa"/>
          <w:right w:w="28" w:type="dxa"/>
        </w:tblCellMar>
      </w:tblPr>
      <w:tblGrid>
        <w:gridCol w:w="1209"/>
        <w:gridCol w:w="9244"/>
        <w:gridCol w:w="886"/>
      </w:tblGrid>
      <w:tr>
        <w:trPr/>
        <w:tc>
          <w:tcPr>
            <w:tcW w:w="1209" w:type="dxa"/>
            <w:tcBorders/>
            <w:vAlign w:val="center"/>
          </w:tcPr>
          <w:p>
            <w:pPr>
              <w:pStyle w:val="TableHeading"/>
              <w:suppressLineNumbers/>
              <w:shd w:fill="1F3864" w:val="clear"/>
              <w:bidi w:val="0"/>
              <w:spacing w:before="0" w:after="283"/>
              <w:jc w:val="left"/>
              <w:rPr/>
            </w:pPr>
            <w:r>
              <w:rPr/>
              <w:t>ID</w:t>
            </w:r>
          </w:p>
        </w:tc>
        <w:tc>
          <w:tcPr>
            <w:tcW w:w="9244" w:type="dxa"/>
            <w:tcBorders/>
            <w:vAlign w:val="center"/>
          </w:tcPr>
          <w:p>
            <w:pPr>
              <w:pStyle w:val="TableHeading"/>
              <w:suppressLineNumbers/>
              <w:shd w:fill="1F3864" w:val="clear"/>
              <w:bidi w:val="0"/>
              <w:spacing w:before="0" w:after="283"/>
              <w:jc w:val="left"/>
              <w:rPr/>
            </w:pPr>
            <w:r>
              <w:rPr/>
              <w:t>Requirement</w:t>
            </w:r>
          </w:p>
        </w:tc>
        <w:tc>
          <w:tcPr>
            <w:tcW w:w="886" w:type="dxa"/>
            <w:tcBorders/>
            <w:vAlign w:val="center"/>
          </w:tcPr>
          <w:p>
            <w:pPr>
              <w:pStyle w:val="TableHeading"/>
              <w:suppressLineNumbers/>
              <w:shd w:fill="1F3864" w:val="clear"/>
              <w:bidi w:val="0"/>
              <w:spacing w:before="0" w:after="283"/>
              <w:jc w:val="left"/>
              <w:rPr/>
            </w:pPr>
            <w:r>
              <w:rPr/>
              <w:t>Priority</w:t>
            </w:r>
          </w:p>
        </w:tc>
      </w:tr>
      <w:tr>
        <w:trPr/>
        <w:tc>
          <w:tcPr>
            <w:tcW w:w="1209" w:type="dxa"/>
            <w:tcBorders/>
            <w:vAlign w:val="center"/>
          </w:tcPr>
          <w:p>
            <w:pPr>
              <w:pStyle w:val="TableContents"/>
              <w:bidi w:val="0"/>
              <w:spacing w:before="0" w:after="283"/>
              <w:jc w:val="left"/>
              <w:rPr/>
            </w:pPr>
            <w:r>
              <w:rPr/>
              <w:t>FR-COMP-01</w:t>
            </w:r>
          </w:p>
        </w:tc>
        <w:tc>
          <w:tcPr>
            <w:tcW w:w="9244" w:type="dxa"/>
            <w:tcBorders/>
            <w:vAlign w:val="center"/>
          </w:tcPr>
          <w:p>
            <w:pPr>
              <w:pStyle w:val="TableContents"/>
              <w:bidi w:val="0"/>
              <w:spacing w:before="0" w:after="283"/>
              <w:jc w:val="left"/>
              <w:rPr/>
            </w:pPr>
            <w:r>
              <w:rPr/>
              <w:t>The system shall allow creation and management of the holding company, Morise Holdings Limited.</w:t>
            </w:r>
          </w:p>
        </w:tc>
        <w:tc>
          <w:tcPr>
            <w:tcW w:w="886" w:type="dxa"/>
            <w:tcBorders/>
            <w:vAlign w:val="center"/>
          </w:tcPr>
          <w:p>
            <w:pPr>
              <w:pStyle w:val="TableContents"/>
              <w:bidi w:val="0"/>
              <w:spacing w:before="0" w:after="283"/>
              <w:jc w:val="left"/>
              <w:rPr/>
            </w:pPr>
            <w:r>
              <w:rPr/>
              <w:t>Must</w:t>
            </w:r>
          </w:p>
        </w:tc>
      </w:tr>
      <w:tr>
        <w:trPr/>
        <w:tc>
          <w:tcPr>
            <w:tcW w:w="1209" w:type="dxa"/>
            <w:tcBorders/>
            <w:vAlign w:val="center"/>
          </w:tcPr>
          <w:p>
            <w:pPr>
              <w:pStyle w:val="TableContents"/>
              <w:bidi w:val="0"/>
              <w:spacing w:before="0" w:after="283"/>
              <w:jc w:val="left"/>
              <w:rPr/>
            </w:pPr>
            <w:r>
              <w:rPr/>
              <w:t>FR-COMP-02</w:t>
            </w:r>
          </w:p>
        </w:tc>
        <w:tc>
          <w:tcPr>
            <w:tcW w:w="9244" w:type="dxa"/>
            <w:tcBorders/>
            <w:vAlign w:val="center"/>
          </w:tcPr>
          <w:p>
            <w:pPr>
              <w:pStyle w:val="TableContents"/>
              <w:bidi w:val="0"/>
              <w:spacing w:before="0" w:after="283"/>
              <w:jc w:val="left"/>
              <w:rPr/>
            </w:pPr>
            <w:r>
              <w:rPr/>
              <w:t>The system shall allow registration of subsidiary companies under the holding company.</w:t>
            </w:r>
          </w:p>
        </w:tc>
        <w:tc>
          <w:tcPr>
            <w:tcW w:w="886" w:type="dxa"/>
            <w:tcBorders/>
            <w:vAlign w:val="center"/>
          </w:tcPr>
          <w:p>
            <w:pPr>
              <w:pStyle w:val="TableContents"/>
              <w:bidi w:val="0"/>
              <w:spacing w:before="0" w:after="283"/>
              <w:jc w:val="left"/>
              <w:rPr/>
            </w:pPr>
            <w:r>
              <w:rPr/>
              <w:t>Must</w:t>
            </w:r>
          </w:p>
        </w:tc>
      </w:tr>
      <w:tr>
        <w:trPr/>
        <w:tc>
          <w:tcPr>
            <w:tcW w:w="1209" w:type="dxa"/>
            <w:tcBorders/>
            <w:vAlign w:val="center"/>
          </w:tcPr>
          <w:p>
            <w:pPr>
              <w:pStyle w:val="TableContents"/>
              <w:bidi w:val="0"/>
              <w:spacing w:before="0" w:after="283"/>
              <w:jc w:val="left"/>
              <w:rPr/>
            </w:pPr>
            <w:r>
              <w:rPr/>
              <w:t>FR-COMP-03</w:t>
            </w:r>
          </w:p>
        </w:tc>
        <w:tc>
          <w:tcPr>
            <w:tcW w:w="9244" w:type="dxa"/>
            <w:tcBorders/>
            <w:vAlign w:val="center"/>
          </w:tcPr>
          <w:p>
            <w:pPr>
              <w:pStyle w:val="TableContents"/>
              <w:bidi w:val="0"/>
              <w:spacing w:before="0" w:after="283"/>
              <w:jc w:val="left"/>
              <w:rPr/>
            </w:pPr>
            <w:r>
              <w:rPr/>
              <w:t>The system shall allow registration of associated companies/affiliates.</w:t>
            </w:r>
          </w:p>
        </w:tc>
        <w:tc>
          <w:tcPr>
            <w:tcW w:w="886" w:type="dxa"/>
            <w:tcBorders/>
            <w:vAlign w:val="center"/>
          </w:tcPr>
          <w:p>
            <w:pPr>
              <w:pStyle w:val="TableContents"/>
              <w:bidi w:val="0"/>
              <w:spacing w:before="0" w:after="283"/>
              <w:jc w:val="left"/>
              <w:rPr/>
            </w:pPr>
            <w:r>
              <w:rPr/>
              <w:t>Should</w:t>
            </w:r>
          </w:p>
        </w:tc>
      </w:tr>
      <w:tr>
        <w:trPr/>
        <w:tc>
          <w:tcPr>
            <w:tcW w:w="1209" w:type="dxa"/>
            <w:tcBorders/>
            <w:vAlign w:val="center"/>
          </w:tcPr>
          <w:p>
            <w:pPr>
              <w:pStyle w:val="TableContents"/>
              <w:bidi w:val="0"/>
              <w:spacing w:before="0" w:after="283"/>
              <w:jc w:val="left"/>
              <w:rPr/>
            </w:pPr>
            <w:r>
              <w:rPr/>
              <w:t>FR-COMP-04</w:t>
            </w:r>
          </w:p>
        </w:tc>
        <w:tc>
          <w:tcPr>
            <w:tcW w:w="9244" w:type="dxa"/>
            <w:tcBorders/>
            <w:vAlign w:val="center"/>
          </w:tcPr>
          <w:p>
            <w:pPr>
              <w:pStyle w:val="TableContents"/>
              <w:bidi w:val="0"/>
              <w:spacing w:before="0" w:after="283"/>
              <w:jc w:val="left"/>
              <w:rPr/>
            </w:pPr>
            <w:r>
              <w:rPr/>
              <w:t>The system shall allow registration of branches and offices under each company.</w:t>
            </w:r>
          </w:p>
        </w:tc>
        <w:tc>
          <w:tcPr>
            <w:tcW w:w="886" w:type="dxa"/>
            <w:tcBorders/>
            <w:vAlign w:val="center"/>
          </w:tcPr>
          <w:p>
            <w:pPr>
              <w:pStyle w:val="TableContents"/>
              <w:bidi w:val="0"/>
              <w:spacing w:before="0" w:after="283"/>
              <w:jc w:val="left"/>
              <w:rPr/>
            </w:pPr>
            <w:r>
              <w:rPr/>
              <w:t>Must</w:t>
            </w:r>
          </w:p>
        </w:tc>
      </w:tr>
      <w:tr>
        <w:trPr/>
        <w:tc>
          <w:tcPr>
            <w:tcW w:w="1209" w:type="dxa"/>
            <w:tcBorders/>
            <w:vAlign w:val="center"/>
          </w:tcPr>
          <w:p>
            <w:pPr>
              <w:pStyle w:val="TableContents"/>
              <w:bidi w:val="0"/>
              <w:spacing w:before="0" w:after="283"/>
              <w:jc w:val="left"/>
              <w:rPr/>
            </w:pPr>
            <w:r>
              <w:rPr/>
              <w:t>FR-COMP-05</w:t>
            </w:r>
          </w:p>
        </w:tc>
        <w:tc>
          <w:tcPr>
            <w:tcW w:w="9244" w:type="dxa"/>
            <w:tcBorders/>
            <w:vAlign w:val="center"/>
          </w:tcPr>
          <w:p>
            <w:pPr>
              <w:pStyle w:val="TableContents"/>
              <w:bidi w:val="0"/>
              <w:spacing w:before="0" w:after="283"/>
              <w:jc w:val="left"/>
              <w:rPr/>
            </w:pPr>
            <w:r>
              <w:rPr/>
              <w:t>The system shall allow definition of company ownership structures and parent/subsidiary relationships.</w:t>
            </w:r>
          </w:p>
        </w:tc>
        <w:tc>
          <w:tcPr>
            <w:tcW w:w="886" w:type="dxa"/>
            <w:tcBorders/>
            <w:vAlign w:val="center"/>
          </w:tcPr>
          <w:p>
            <w:pPr>
              <w:pStyle w:val="TableContents"/>
              <w:bidi w:val="0"/>
              <w:spacing w:before="0" w:after="283"/>
              <w:jc w:val="left"/>
              <w:rPr/>
            </w:pPr>
            <w:r>
              <w:rPr/>
              <w:t>Must</w:t>
            </w:r>
          </w:p>
        </w:tc>
      </w:tr>
      <w:tr>
        <w:trPr/>
        <w:tc>
          <w:tcPr>
            <w:tcW w:w="1209" w:type="dxa"/>
            <w:tcBorders/>
            <w:vAlign w:val="center"/>
          </w:tcPr>
          <w:p>
            <w:pPr>
              <w:pStyle w:val="TableContents"/>
              <w:bidi w:val="0"/>
              <w:spacing w:before="0" w:after="283"/>
              <w:jc w:val="left"/>
              <w:rPr/>
            </w:pPr>
            <w:r>
              <w:rPr/>
              <w:t>FR-COMP-06</w:t>
            </w:r>
          </w:p>
        </w:tc>
        <w:tc>
          <w:tcPr>
            <w:tcW w:w="9244" w:type="dxa"/>
            <w:tcBorders/>
            <w:vAlign w:val="center"/>
          </w:tcPr>
          <w:p>
            <w:pPr>
              <w:pStyle w:val="TableContents"/>
              <w:bidi w:val="0"/>
              <w:spacing w:before="0" w:after="283"/>
              <w:jc w:val="left"/>
              <w:rPr/>
            </w:pPr>
            <w:r>
              <w:rPr/>
              <w:t>The system shall store company registration information, tax identification, addresses, contacts, logo and official documents.</w:t>
            </w:r>
          </w:p>
        </w:tc>
        <w:tc>
          <w:tcPr>
            <w:tcW w:w="886" w:type="dxa"/>
            <w:tcBorders/>
            <w:vAlign w:val="center"/>
          </w:tcPr>
          <w:p>
            <w:pPr>
              <w:pStyle w:val="TableContents"/>
              <w:bidi w:val="0"/>
              <w:spacing w:before="0" w:after="283"/>
              <w:jc w:val="left"/>
              <w:rPr/>
            </w:pPr>
            <w:r>
              <w:rPr/>
              <w:t>Must</w:t>
            </w:r>
          </w:p>
        </w:tc>
      </w:tr>
      <w:tr>
        <w:trPr/>
        <w:tc>
          <w:tcPr>
            <w:tcW w:w="1209" w:type="dxa"/>
            <w:tcBorders/>
            <w:vAlign w:val="center"/>
          </w:tcPr>
          <w:p>
            <w:pPr>
              <w:pStyle w:val="TableContents"/>
              <w:bidi w:val="0"/>
              <w:spacing w:before="0" w:after="283"/>
              <w:jc w:val="left"/>
              <w:rPr/>
            </w:pPr>
            <w:r>
              <w:rPr/>
              <w:t>FR-COMP-07</w:t>
            </w:r>
          </w:p>
        </w:tc>
        <w:tc>
          <w:tcPr>
            <w:tcW w:w="9244" w:type="dxa"/>
            <w:tcBorders/>
            <w:vAlign w:val="center"/>
          </w:tcPr>
          <w:p>
            <w:pPr>
              <w:pStyle w:val="TableContents"/>
              <w:bidi w:val="0"/>
              <w:spacing w:before="0" w:after="283"/>
              <w:jc w:val="left"/>
              <w:rPr/>
            </w:pPr>
            <w:r>
              <w:rPr/>
              <w:t>The system shall allow each company to be configured with its own currency and financial year.</w:t>
            </w:r>
          </w:p>
        </w:tc>
        <w:tc>
          <w:tcPr>
            <w:tcW w:w="886" w:type="dxa"/>
            <w:tcBorders/>
            <w:vAlign w:val="center"/>
          </w:tcPr>
          <w:p>
            <w:pPr>
              <w:pStyle w:val="TableContents"/>
              <w:bidi w:val="0"/>
              <w:spacing w:before="0" w:after="283"/>
              <w:jc w:val="left"/>
              <w:rPr/>
            </w:pPr>
            <w:r>
              <w:rPr/>
              <w:t>Must</w:t>
            </w:r>
          </w:p>
        </w:tc>
      </w:tr>
      <w:tr>
        <w:trPr/>
        <w:tc>
          <w:tcPr>
            <w:tcW w:w="1209" w:type="dxa"/>
            <w:tcBorders/>
            <w:vAlign w:val="center"/>
          </w:tcPr>
          <w:p>
            <w:pPr>
              <w:pStyle w:val="TableContents"/>
              <w:bidi w:val="0"/>
              <w:spacing w:before="0" w:after="283"/>
              <w:jc w:val="left"/>
              <w:rPr/>
            </w:pPr>
            <w:r>
              <w:rPr/>
              <w:t>FR-COMP-08</w:t>
            </w:r>
          </w:p>
        </w:tc>
        <w:tc>
          <w:tcPr>
            <w:tcW w:w="9244" w:type="dxa"/>
            <w:tcBorders/>
            <w:vAlign w:val="center"/>
          </w:tcPr>
          <w:p>
            <w:pPr>
              <w:pStyle w:val="TableContents"/>
              <w:bidi w:val="0"/>
              <w:spacing w:before="0" w:after="283"/>
              <w:jc w:val="left"/>
              <w:rPr/>
            </w:pPr>
            <w:r>
              <w:rPr/>
              <w:t>The system shall allow configuration of company-specific departments.</w:t>
            </w:r>
          </w:p>
        </w:tc>
        <w:tc>
          <w:tcPr>
            <w:tcW w:w="886" w:type="dxa"/>
            <w:tcBorders/>
            <w:vAlign w:val="center"/>
          </w:tcPr>
          <w:p>
            <w:pPr>
              <w:pStyle w:val="TableContents"/>
              <w:bidi w:val="0"/>
              <w:spacing w:before="0" w:after="283"/>
              <w:jc w:val="left"/>
              <w:rPr/>
            </w:pPr>
            <w:r>
              <w:rPr/>
              <w:t>Must</w:t>
            </w:r>
          </w:p>
        </w:tc>
      </w:tr>
      <w:tr>
        <w:trPr/>
        <w:tc>
          <w:tcPr>
            <w:tcW w:w="1209" w:type="dxa"/>
            <w:tcBorders/>
            <w:vAlign w:val="center"/>
          </w:tcPr>
          <w:p>
            <w:pPr>
              <w:pStyle w:val="TableContents"/>
              <w:bidi w:val="0"/>
              <w:spacing w:before="0" w:after="283"/>
              <w:jc w:val="left"/>
              <w:rPr/>
            </w:pPr>
            <w:r>
              <w:rPr/>
              <w:t>FR-COMP-09</w:t>
            </w:r>
          </w:p>
        </w:tc>
        <w:tc>
          <w:tcPr>
            <w:tcW w:w="9244" w:type="dxa"/>
            <w:tcBorders/>
            <w:vAlign w:val="center"/>
          </w:tcPr>
          <w:p>
            <w:pPr>
              <w:pStyle w:val="TableContents"/>
              <w:bidi w:val="0"/>
              <w:spacing w:before="0" w:after="283"/>
              <w:jc w:val="left"/>
              <w:rPr/>
            </w:pPr>
            <w:r>
              <w:rPr/>
              <w:t>The system shall present a basic consolidated view of registered companies and branches to authorized Group-level users.</w:t>
            </w:r>
          </w:p>
        </w:tc>
        <w:tc>
          <w:tcPr>
            <w:tcW w:w="886" w:type="dxa"/>
            <w:tcBorders/>
            <w:vAlign w:val="center"/>
          </w:tcPr>
          <w:p>
            <w:pPr>
              <w:pStyle w:val="TableContents"/>
              <w:bidi w:val="0"/>
              <w:spacing w:before="0" w:after="283"/>
              <w:jc w:val="left"/>
              <w:rPr/>
            </w:pPr>
            <w:r>
              <w:rPr/>
              <w:t>Should</w:t>
            </w:r>
          </w:p>
        </w:tc>
      </w:tr>
      <w:tr>
        <w:trPr/>
        <w:tc>
          <w:tcPr>
            <w:tcW w:w="1209" w:type="dxa"/>
            <w:tcBorders/>
            <w:vAlign w:val="center"/>
          </w:tcPr>
          <w:p>
            <w:pPr>
              <w:pStyle w:val="TableContents"/>
              <w:bidi w:val="0"/>
              <w:spacing w:before="0" w:after="283"/>
              <w:jc w:val="left"/>
              <w:rPr/>
            </w:pPr>
            <w:r>
              <w:rPr/>
              <w:t>FR-COMP-10</w:t>
            </w:r>
          </w:p>
        </w:tc>
        <w:tc>
          <w:tcPr>
            <w:tcW w:w="9244" w:type="dxa"/>
            <w:tcBorders/>
            <w:vAlign w:val="center"/>
          </w:tcPr>
          <w:p>
            <w:pPr>
              <w:pStyle w:val="TableContents"/>
              <w:bidi w:val="0"/>
              <w:spacing w:before="0" w:after="283"/>
              <w:jc w:val="left"/>
              <w:rPr/>
            </w:pPr>
            <w:r>
              <w:rPr/>
              <w:t>The system shall allow each company to define company-specific policies (name, type, description, an effective date, and an optional supporting document reference).</w:t>
            </w:r>
          </w:p>
        </w:tc>
        <w:tc>
          <w:tcPr>
            <w:tcW w:w="886" w:type="dxa"/>
            <w:tcBorders/>
            <w:vAlign w:val="center"/>
          </w:tcPr>
          <w:p>
            <w:pPr>
              <w:pStyle w:val="TableContents"/>
              <w:bidi w:val="0"/>
              <w:spacing w:before="0" w:after="283"/>
              <w:jc w:val="left"/>
              <w:rPr/>
            </w:pPr>
            <w:r>
              <w:rPr/>
              <w:t>Should</w:t>
            </w:r>
          </w:p>
        </w:tc>
      </w:tr>
      <w:tr>
        <w:trPr/>
        <w:tc>
          <w:tcPr>
            <w:tcW w:w="1209" w:type="dxa"/>
            <w:tcBorders/>
            <w:vAlign w:val="center"/>
          </w:tcPr>
          <w:p>
            <w:pPr>
              <w:pStyle w:val="TableContents"/>
              <w:bidi w:val="0"/>
              <w:spacing w:before="0" w:after="283"/>
              <w:jc w:val="left"/>
              <w:rPr/>
            </w:pPr>
            <w:r>
              <w:rPr/>
              <w:t>FR-COMP-11</w:t>
            </w:r>
          </w:p>
        </w:tc>
        <w:tc>
          <w:tcPr>
            <w:tcW w:w="9244" w:type="dxa"/>
            <w:tcBorders/>
            <w:vAlign w:val="center"/>
          </w:tcPr>
          <w:p>
            <w:pPr>
              <w:pStyle w:val="TableContents"/>
              <w:bidi w:val="0"/>
              <w:spacing w:before="0" w:after="283"/>
              <w:jc w:val="left"/>
              <w:rPr/>
            </w:pPr>
            <w:r>
              <w:rPr/>
              <w:t>The system shall allow recording and posting of inter-company transactions (loans, transfers, service charges, cost allocations) between two companies in the Group, each posting to both companies’ own ledgers in a balanced manner.</w:t>
            </w:r>
          </w:p>
        </w:tc>
        <w:tc>
          <w:tcPr>
            <w:tcW w:w="886" w:type="dxa"/>
            <w:tcBorders/>
            <w:vAlign w:val="center"/>
          </w:tcPr>
          <w:p>
            <w:pPr>
              <w:pStyle w:val="TableContents"/>
              <w:bidi w:val="0"/>
              <w:spacing w:before="0" w:after="283"/>
              <w:jc w:val="left"/>
              <w:rPr/>
            </w:pPr>
            <w:r>
              <w:rPr/>
              <w:t>Should</w:t>
            </w:r>
          </w:p>
        </w:tc>
      </w:tr>
      <w:tr>
        <w:trPr/>
        <w:tc>
          <w:tcPr>
            <w:tcW w:w="1209" w:type="dxa"/>
            <w:tcBorders/>
            <w:vAlign w:val="center"/>
          </w:tcPr>
          <w:p>
            <w:pPr>
              <w:pStyle w:val="TableContents"/>
              <w:bidi w:val="0"/>
              <w:spacing w:before="0" w:after="283"/>
              <w:jc w:val="left"/>
              <w:rPr/>
            </w:pPr>
            <w:r>
              <w:rPr/>
              <w:t>FR-COMP-12</w:t>
            </w:r>
          </w:p>
        </w:tc>
        <w:tc>
          <w:tcPr>
            <w:tcW w:w="9244" w:type="dxa"/>
            <w:tcBorders/>
            <w:vAlign w:val="center"/>
          </w:tcPr>
          <w:p>
            <w:pPr>
              <w:pStyle w:val="TableContents"/>
              <w:bidi w:val="0"/>
              <w:spacing w:before="0" w:after="283"/>
              <w:jc w:val="left"/>
              <w:rPr/>
            </w:pPr>
            <w:r>
              <w:rPr/>
              <w:t>The system shall allow transfer of an asset from one company to another, and shall present a consolidated comparison of subsidiary headcount, customers, suppliers, assets, projects and financial performance to authorized Group-level users.</w:t>
            </w:r>
          </w:p>
        </w:tc>
        <w:tc>
          <w:tcPr>
            <w:tcW w:w="886" w:type="dxa"/>
            <w:tcBorders/>
            <w:vAlign w:val="center"/>
          </w:tcPr>
          <w:p>
            <w:pPr>
              <w:pStyle w:val="TableContents"/>
              <w:bidi w:val="0"/>
              <w:spacing w:before="0" w:after="283"/>
              <w:jc w:val="left"/>
              <w:rPr/>
            </w:pPr>
            <w:r>
              <w:rPr/>
              <w:t>Should</w:t>
            </w:r>
          </w:p>
        </w:tc>
      </w:tr>
    </w:tbl>
    <w:p>
      <w:pPr>
        <w:pStyle w:val="BodyText"/>
        <w:bidi w:val="0"/>
        <w:spacing w:before="150" w:after="150"/>
        <w:ind w:hanging="0" w:left="150" w:right="150"/>
        <w:jc w:val="left"/>
        <w:rPr>
          <w:sz w:val="21"/>
          <w:bdr w:val="single" w:sz="24" w:space="9" w:color="B33A3A"/>
          <w:shd w:fill="FBEAEA" w:val="clear"/>
        </w:rPr>
      </w:pPr>
      <w:r>
        <w:t>Company policies (FR-COMP-10), inter-company transactions (FR-COMP-11) and cross-company asset transfer plus subsidiary comparison reporting (FR-COMP-12) were built 19 August 2026 — previously listed here as Phase 3 deferrals. Full Phase 3-grade group financial consolidation (a formal close/eliminate process for inter-company balances at period end) remains out of scope; Sprint 10’s ?consolidated=true rollup and this pass’s comparison report cover reporting, not formal consolidation accounting.</w:t>
      </w:r>
    </w:p>
    <w:p>
      <w:pPr>
        <w:pStyle w:val="Heading3"/>
        <w:bidi w:val="0"/>
        <w:jc w:val="left"/>
        <w:rPr/>
      </w:pPr>
      <w:r>
        <w:rPr/>
        <w:t>4.3 User, Role and Permission Management</w:t>
      </w:r>
    </w:p>
    <w:tbl>
      <w:tblPr>
        <w:tblW w:w="11339" w:type="dxa"/>
        <w:jc w:val="left"/>
        <w:tblInd w:w="28" w:type="dxa"/>
        <w:tblLayout w:type="fixed"/>
        <w:tblCellMar>
          <w:top w:w="28" w:type="dxa"/>
          <w:left w:w="28" w:type="dxa"/>
          <w:bottom w:w="28" w:type="dxa"/>
          <w:right w:w="28" w:type="dxa"/>
        </w:tblCellMar>
      </w:tblPr>
      <w:tblGrid>
        <w:gridCol w:w="1115"/>
        <w:gridCol w:w="9338"/>
        <w:gridCol w:w="886"/>
      </w:tblGrid>
      <w:tr>
        <w:trPr/>
        <w:tc>
          <w:tcPr>
            <w:tcW w:w="1115" w:type="dxa"/>
            <w:tcBorders/>
            <w:vAlign w:val="center"/>
          </w:tcPr>
          <w:p>
            <w:pPr>
              <w:pStyle w:val="TableHeading"/>
              <w:suppressLineNumbers/>
              <w:shd w:fill="1F3864" w:val="clear"/>
              <w:bidi w:val="0"/>
              <w:spacing w:before="0" w:after="283"/>
              <w:jc w:val="left"/>
              <w:rPr/>
            </w:pPr>
            <w:r>
              <w:rPr/>
              <w:t>ID</w:t>
            </w:r>
          </w:p>
        </w:tc>
        <w:tc>
          <w:tcPr>
            <w:tcW w:w="9338" w:type="dxa"/>
            <w:tcBorders/>
            <w:vAlign w:val="center"/>
          </w:tcPr>
          <w:p>
            <w:pPr>
              <w:pStyle w:val="TableHeading"/>
              <w:suppressLineNumbers/>
              <w:shd w:fill="1F3864" w:val="clear"/>
              <w:bidi w:val="0"/>
              <w:spacing w:before="0" w:after="283"/>
              <w:jc w:val="left"/>
              <w:rPr/>
            </w:pPr>
            <w:r>
              <w:rPr/>
              <w:t>Requirement</w:t>
            </w:r>
          </w:p>
        </w:tc>
        <w:tc>
          <w:tcPr>
            <w:tcW w:w="886" w:type="dxa"/>
            <w:tcBorders/>
            <w:vAlign w:val="center"/>
          </w:tcPr>
          <w:p>
            <w:pPr>
              <w:pStyle w:val="TableHeading"/>
              <w:suppressLineNumbers/>
              <w:shd w:fill="1F3864" w:val="clear"/>
              <w:bidi w:val="0"/>
              <w:spacing w:before="0" w:after="283"/>
              <w:jc w:val="left"/>
              <w:rPr/>
            </w:pPr>
            <w:r>
              <w:rPr/>
              <w:t>Priority</w:t>
            </w:r>
          </w:p>
        </w:tc>
      </w:tr>
      <w:tr>
        <w:trPr/>
        <w:tc>
          <w:tcPr>
            <w:tcW w:w="1115" w:type="dxa"/>
            <w:tcBorders/>
            <w:vAlign w:val="center"/>
          </w:tcPr>
          <w:p>
            <w:pPr>
              <w:pStyle w:val="TableContents"/>
              <w:bidi w:val="0"/>
              <w:spacing w:before="0" w:after="283"/>
              <w:jc w:val="left"/>
              <w:rPr/>
            </w:pPr>
            <w:r>
              <w:rPr/>
              <w:t>FR-USER-01</w:t>
            </w:r>
          </w:p>
        </w:tc>
        <w:tc>
          <w:tcPr>
            <w:tcW w:w="9338" w:type="dxa"/>
            <w:tcBorders/>
            <w:vAlign w:val="center"/>
          </w:tcPr>
          <w:p>
            <w:pPr>
              <w:pStyle w:val="TableContents"/>
              <w:bidi w:val="0"/>
              <w:spacing w:before="0" w:after="283"/>
              <w:jc w:val="left"/>
              <w:rPr/>
            </w:pPr>
            <w:r>
              <w:rPr/>
              <w:t>The system shall allow authorized administrators to create, edit, activate and deactivate user accounts.</w:t>
            </w:r>
          </w:p>
        </w:tc>
        <w:tc>
          <w:tcPr>
            <w:tcW w:w="886" w:type="dxa"/>
            <w:tcBorders/>
            <w:vAlign w:val="center"/>
          </w:tcPr>
          <w:p>
            <w:pPr>
              <w:pStyle w:val="TableContents"/>
              <w:bidi w:val="0"/>
              <w:spacing w:before="0" w:after="283"/>
              <w:jc w:val="left"/>
              <w:rPr/>
            </w:pPr>
            <w:r>
              <w:rPr/>
              <w:t>Must</w:t>
            </w:r>
          </w:p>
        </w:tc>
      </w:tr>
      <w:tr>
        <w:trPr/>
        <w:tc>
          <w:tcPr>
            <w:tcW w:w="1115" w:type="dxa"/>
            <w:tcBorders/>
            <w:vAlign w:val="center"/>
          </w:tcPr>
          <w:p>
            <w:pPr>
              <w:pStyle w:val="TableContents"/>
              <w:bidi w:val="0"/>
              <w:spacing w:before="0" w:after="283"/>
              <w:jc w:val="left"/>
              <w:rPr/>
            </w:pPr>
            <w:r>
              <w:rPr/>
              <w:t>FR-USER-02</w:t>
            </w:r>
          </w:p>
        </w:tc>
        <w:tc>
          <w:tcPr>
            <w:tcW w:w="9338" w:type="dxa"/>
            <w:tcBorders/>
            <w:vAlign w:val="center"/>
          </w:tcPr>
          <w:p>
            <w:pPr>
              <w:pStyle w:val="TableContents"/>
              <w:bidi w:val="0"/>
              <w:spacing w:before="0" w:after="283"/>
              <w:jc w:val="left"/>
              <w:rPr/>
            </w:pPr>
            <w:r>
              <w:rPr/>
              <w:t>The system shall allow administrators to reset a user's password and to lock a user account.</w:t>
            </w:r>
          </w:p>
        </w:tc>
        <w:tc>
          <w:tcPr>
            <w:tcW w:w="886" w:type="dxa"/>
            <w:tcBorders/>
            <w:vAlign w:val="center"/>
          </w:tcPr>
          <w:p>
            <w:pPr>
              <w:pStyle w:val="TableContents"/>
              <w:bidi w:val="0"/>
              <w:spacing w:before="0" w:after="283"/>
              <w:jc w:val="left"/>
              <w:rPr/>
            </w:pPr>
            <w:r>
              <w:rPr/>
              <w:t>Must</w:t>
            </w:r>
          </w:p>
        </w:tc>
      </w:tr>
      <w:tr>
        <w:trPr/>
        <w:tc>
          <w:tcPr>
            <w:tcW w:w="1115" w:type="dxa"/>
            <w:tcBorders/>
            <w:vAlign w:val="center"/>
          </w:tcPr>
          <w:p>
            <w:pPr>
              <w:pStyle w:val="TableContents"/>
              <w:bidi w:val="0"/>
              <w:spacing w:before="0" w:after="283"/>
              <w:jc w:val="left"/>
              <w:rPr/>
            </w:pPr>
            <w:r>
              <w:rPr/>
              <w:t>FR-USER-03</w:t>
            </w:r>
          </w:p>
        </w:tc>
        <w:tc>
          <w:tcPr>
            <w:tcW w:w="9338" w:type="dxa"/>
            <w:tcBorders/>
            <w:vAlign w:val="center"/>
          </w:tcPr>
          <w:p>
            <w:pPr>
              <w:pStyle w:val="TableContents"/>
              <w:bidi w:val="0"/>
              <w:spacing w:before="0" w:after="283"/>
              <w:jc w:val="left"/>
              <w:rPr/>
            </w:pPr>
            <w:r>
              <w:rPr/>
              <w:t>The system shall allow users to manage their own profile information.</w:t>
            </w:r>
          </w:p>
        </w:tc>
        <w:tc>
          <w:tcPr>
            <w:tcW w:w="886" w:type="dxa"/>
            <w:tcBorders/>
            <w:vAlign w:val="center"/>
          </w:tcPr>
          <w:p>
            <w:pPr>
              <w:pStyle w:val="TableContents"/>
              <w:bidi w:val="0"/>
              <w:spacing w:before="0" w:after="283"/>
              <w:jc w:val="left"/>
              <w:rPr/>
            </w:pPr>
            <w:r>
              <w:rPr/>
              <w:t>Should</w:t>
            </w:r>
          </w:p>
        </w:tc>
      </w:tr>
      <w:tr>
        <w:trPr/>
        <w:tc>
          <w:tcPr>
            <w:tcW w:w="1115" w:type="dxa"/>
            <w:tcBorders/>
            <w:vAlign w:val="center"/>
          </w:tcPr>
          <w:p>
            <w:pPr>
              <w:pStyle w:val="TableContents"/>
              <w:bidi w:val="0"/>
              <w:spacing w:before="0" w:after="283"/>
              <w:jc w:val="left"/>
              <w:rPr/>
            </w:pPr>
            <w:r>
              <w:rPr/>
              <w:t>FR-USER-04</w:t>
            </w:r>
          </w:p>
        </w:tc>
        <w:tc>
          <w:tcPr>
            <w:tcW w:w="9338" w:type="dxa"/>
            <w:tcBorders/>
            <w:vAlign w:val="center"/>
          </w:tcPr>
          <w:p>
            <w:pPr>
              <w:pStyle w:val="TableContents"/>
              <w:bidi w:val="0"/>
              <w:spacing w:before="0" w:after="283"/>
              <w:jc w:val="left"/>
              <w:rPr/>
            </w:pPr>
            <w:r>
              <w:rPr/>
              <w:t>The system shall allow assignment of users to specific companies, branches and departments.</w:t>
            </w:r>
          </w:p>
        </w:tc>
        <w:tc>
          <w:tcPr>
            <w:tcW w:w="886" w:type="dxa"/>
            <w:tcBorders/>
            <w:vAlign w:val="center"/>
          </w:tcPr>
          <w:p>
            <w:pPr>
              <w:pStyle w:val="TableContents"/>
              <w:bidi w:val="0"/>
              <w:spacing w:before="0" w:after="283"/>
              <w:jc w:val="left"/>
              <w:rPr/>
            </w:pPr>
            <w:r>
              <w:rPr/>
              <w:t>Must</w:t>
            </w:r>
          </w:p>
        </w:tc>
      </w:tr>
      <w:tr>
        <w:trPr/>
        <w:tc>
          <w:tcPr>
            <w:tcW w:w="1115" w:type="dxa"/>
            <w:tcBorders/>
            <w:vAlign w:val="center"/>
          </w:tcPr>
          <w:p>
            <w:pPr>
              <w:pStyle w:val="TableContents"/>
              <w:bidi w:val="0"/>
              <w:spacing w:before="0" w:after="283"/>
              <w:jc w:val="left"/>
              <w:rPr/>
            </w:pPr>
            <w:r>
              <w:rPr/>
              <w:t>FR-USER-05</w:t>
            </w:r>
          </w:p>
        </w:tc>
        <w:tc>
          <w:tcPr>
            <w:tcW w:w="9338" w:type="dxa"/>
            <w:tcBorders/>
            <w:vAlign w:val="center"/>
          </w:tcPr>
          <w:p>
            <w:pPr>
              <w:pStyle w:val="TableContents"/>
              <w:bidi w:val="0"/>
              <w:spacing w:before="0" w:after="283"/>
              <w:jc w:val="left"/>
              <w:rPr/>
            </w:pPr>
            <w:r>
              <w:rPr/>
              <w:t>The system shall support the role catalogue in Section 2.3, with each role carrying a defined set of permissions.</w:t>
            </w:r>
          </w:p>
        </w:tc>
        <w:tc>
          <w:tcPr>
            <w:tcW w:w="886" w:type="dxa"/>
            <w:tcBorders/>
            <w:vAlign w:val="center"/>
          </w:tcPr>
          <w:p>
            <w:pPr>
              <w:pStyle w:val="TableContents"/>
              <w:bidi w:val="0"/>
              <w:spacing w:before="0" w:after="283"/>
              <w:jc w:val="left"/>
              <w:rPr/>
            </w:pPr>
            <w:r>
              <w:rPr/>
              <w:t>Must</w:t>
            </w:r>
          </w:p>
        </w:tc>
      </w:tr>
      <w:tr>
        <w:trPr/>
        <w:tc>
          <w:tcPr>
            <w:tcW w:w="1115" w:type="dxa"/>
            <w:tcBorders/>
            <w:vAlign w:val="center"/>
          </w:tcPr>
          <w:p>
            <w:pPr>
              <w:pStyle w:val="TableContents"/>
              <w:bidi w:val="0"/>
              <w:spacing w:before="0" w:after="283"/>
              <w:jc w:val="left"/>
              <w:rPr/>
            </w:pPr>
            <w:r>
              <w:rPr/>
              <w:t>FR-USER-06</w:t>
            </w:r>
          </w:p>
        </w:tc>
        <w:tc>
          <w:tcPr>
            <w:tcW w:w="9338" w:type="dxa"/>
            <w:tcBorders/>
            <w:vAlign w:val="center"/>
          </w:tcPr>
          <w:p>
            <w:pPr>
              <w:pStyle w:val="TableContents"/>
              <w:bidi w:val="0"/>
              <w:spacing w:before="0" w:after="283"/>
              <w:jc w:val="left"/>
              <w:rPr/>
            </w:pPr>
            <w:r>
              <w:rPr/>
              <w:t>The system shall allow assignment of one or more roles, and specific permissions, to a user.</w:t>
            </w:r>
          </w:p>
        </w:tc>
        <w:tc>
          <w:tcPr>
            <w:tcW w:w="886" w:type="dxa"/>
            <w:tcBorders/>
            <w:vAlign w:val="center"/>
          </w:tcPr>
          <w:p>
            <w:pPr>
              <w:pStyle w:val="TableContents"/>
              <w:bidi w:val="0"/>
              <w:spacing w:before="0" w:after="283"/>
              <w:jc w:val="left"/>
              <w:rPr/>
            </w:pPr>
            <w:r>
              <w:rPr/>
              <w:t>Must</w:t>
            </w:r>
          </w:p>
        </w:tc>
      </w:tr>
      <w:tr>
        <w:trPr/>
        <w:tc>
          <w:tcPr>
            <w:tcW w:w="1115" w:type="dxa"/>
            <w:tcBorders/>
            <w:vAlign w:val="center"/>
          </w:tcPr>
          <w:p>
            <w:pPr>
              <w:pStyle w:val="TableContents"/>
              <w:bidi w:val="0"/>
              <w:spacing w:before="0" w:after="283"/>
              <w:jc w:val="left"/>
              <w:rPr/>
            </w:pPr>
            <w:r>
              <w:rPr/>
              <w:t>FR-USER-07</w:t>
            </w:r>
          </w:p>
        </w:tc>
        <w:tc>
          <w:tcPr>
            <w:tcW w:w="9338" w:type="dxa"/>
            <w:tcBorders/>
            <w:vAlign w:val="center"/>
          </w:tcPr>
          <w:p>
            <w:pPr>
              <w:pStyle w:val="TableContents"/>
              <w:bidi w:val="0"/>
              <w:spacing w:before="0" w:after="283"/>
              <w:jc w:val="left"/>
              <w:rPr/>
            </w:pPr>
            <w:r>
              <w:rPr/>
              <w:t>The system shall restrict a user's access to specific modules, companies and branches according to their assigned role and scope.</w:t>
            </w:r>
          </w:p>
        </w:tc>
        <w:tc>
          <w:tcPr>
            <w:tcW w:w="886" w:type="dxa"/>
            <w:tcBorders/>
            <w:vAlign w:val="center"/>
          </w:tcPr>
          <w:p>
            <w:pPr>
              <w:pStyle w:val="TableContents"/>
              <w:bidi w:val="0"/>
              <w:spacing w:before="0" w:after="283"/>
              <w:jc w:val="left"/>
              <w:rPr/>
            </w:pPr>
            <w:r>
              <w:rPr/>
              <w:t>Must</w:t>
            </w:r>
          </w:p>
        </w:tc>
      </w:tr>
      <w:tr>
        <w:trPr/>
        <w:tc>
          <w:tcPr>
            <w:tcW w:w="1115" w:type="dxa"/>
            <w:tcBorders/>
            <w:vAlign w:val="center"/>
          </w:tcPr>
          <w:p>
            <w:pPr>
              <w:pStyle w:val="TableContents"/>
              <w:bidi w:val="0"/>
              <w:spacing w:before="0" w:after="283"/>
              <w:jc w:val="left"/>
              <w:rPr/>
            </w:pPr>
            <w:r>
              <w:rPr/>
              <w:t>FR-USER-08</w:t>
            </w:r>
          </w:p>
        </w:tc>
        <w:tc>
          <w:tcPr>
            <w:tcW w:w="9338" w:type="dxa"/>
            <w:tcBorders/>
            <w:vAlign w:val="center"/>
          </w:tcPr>
          <w:p>
            <w:pPr>
              <w:pStyle w:val="TableContents"/>
              <w:bidi w:val="0"/>
              <w:spacing w:before="0" w:after="283"/>
              <w:jc w:val="left"/>
              <w:rPr/>
            </w:pPr>
            <w:r>
              <w:rPr/>
              <w:t>The system shall restrict access to financial information and sensitive documents to explicitly authorized roles.</w:t>
            </w:r>
          </w:p>
        </w:tc>
        <w:tc>
          <w:tcPr>
            <w:tcW w:w="886" w:type="dxa"/>
            <w:tcBorders/>
            <w:vAlign w:val="center"/>
          </w:tcPr>
          <w:p>
            <w:pPr>
              <w:pStyle w:val="TableContents"/>
              <w:bidi w:val="0"/>
              <w:spacing w:before="0" w:after="283"/>
              <w:jc w:val="left"/>
              <w:rPr/>
            </w:pPr>
            <w:r>
              <w:rPr/>
              <w:t>Must</w:t>
            </w:r>
          </w:p>
        </w:tc>
      </w:tr>
    </w:tbl>
    <w:p>
      <w:pPr>
        <w:pStyle w:val="Heading3"/>
        <w:bidi w:val="0"/>
        <w:jc w:val="left"/>
        <w:rPr/>
      </w:pPr>
      <w:r>
        <w:rPr/>
        <w:t>4.4 Dashboard</w:t>
      </w:r>
    </w:p>
    <w:tbl>
      <w:tblPr>
        <w:tblW w:w="11339" w:type="dxa"/>
        <w:jc w:val="left"/>
        <w:tblInd w:w="28" w:type="dxa"/>
        <w:tblLayout w:type="fixed"/>
        <w:tblCellMar>
          <w:top w:w="28" w:type="dxa"/>
          <w:left w:w="28" w:type="dxa"/>
          <w:bottom w:w="28" w:type="dxa"/>
          <w:right w:w="28" w:type="dxa"/>
        </w:tblCellMar>
      </w:tblPr>
      <w:tblGrid>
        <w:gridCol w:w="1137"/>
        <w:gridCol w:w="9316"/>
        <w:gridCol w:w="886"/>
      </w:tblGrid>
      <w:tr>
        <w:trPr/>
        <w:tc>
          <w:tcPr>
            <w:tcW w:w="1137" w:type="dxa"/>
            <w:tcBorders/>
            <w:vAlign w:val="center"/>
          </w:tcPr>
          <w:p>
            <w:pPr>
              <w:pStyle w:val="TableHeading"/>
              <w:suppressLineNumbers/>
              <w:shd w:fill="1F3864" w:val="clear"/>
              <w:bidi w:val="0"/>
              <w:spacing w:before="0" w:after="283"/>
              <w:jc w:val="left"/>
              <w:rPr/>
            </w:pPr>
            <w:r>
              <w:rPr/>
              <w:t>ID</w:t>
            </w:r>
          </w:p>
        </w:tc>
        <w:tc>
          <w:tcPr>
            <w:tcW w:w="9316" w:type="dxa"/>
            <w:tcBorders/>
            <w:vAlign w:val="center"/>
          </w:tcPr>
          <w:p>
            <w:pPr>
              <w:pStyle w:val="TableHeading"/>
              <w:suppressLineNumbers/>
              <w:shd w:fill="1F3864" w:val="clear"/>
              <w:bidi w:val="0"/>
              <w:spacing w:before="0" w:after="283"/>
              <w:jc w:val="left"/>
              <w:rPr/>
            </w:pPr>
            <w:r>
              <w:rPr/>
              <w:t>Requirement</w:t>
            </w:r>
          </w:p>
        </w:tc>
        <w:tc>
          <w:tcPr>
            <w:tcW w:w="886" w:type="dxa"/>
            <w:tcBorders/>
            <w:vAlign w:val="center"/>
          </w:tcPr>
          <w:p>
            <w:pPr>
              <w:pStyle w:val="TableHeading"/>
              <w:suppressLineNumbers/>
              <w:shd w:fill="1F3864" w:val="clear"/>
              <w:bidi w:val="0"/>
              <w:spacing w:before="0" w:after="283"/>
              <w:jc w:val="left"/>
              <w:rPr/>
            </w:pPr>
            <w:r>
              <w:rPr/>
              <w:t>Priority</w:t>
            </w:r>
          </w:p>
        </w:tc>
      </w:tr>
      <w:tr>
        <w:trPr/>
        <w:tc>
          <w:tcPr>
            <w:tcW w:w="1137" w:type="dxa"/>
            <w:tcBorders/>
            <w:vAlign w:val="center"/>
          </w:tcPr>
          <w:p>
            <w:pPr>
              <w:pStyle w:val="TableContents"/>
              <w:bidi w:val="0"/>
              <w:spacing w:before="0" w:after="283"/>
              <w:jc w:val="left"/>
              <w:rPr/>
            </w:pPr>
            <w:r>
              <w:rPr/>
              <w:t>FR-DASH-01</w:t>
            </w:r>
          </w:p>
        </w:tc>
        <w:tc>
          <w:tcPr>
            <w:tcW w:w="9316" w:type="dxa"/>
            <w:tcBorders/>
            <w:vAlign w:val="center"/>
          </w:tcPr>
          <w:p>
            <w:pPr>
              <w:pStyle w:val="TableContents"/>
              <w:bidi w:val="0"/>
              <w:spacing w:before="0" w:after="283"/>
              <w:jc w:val="left"/>
              <w:rPr/>
            </w:pPr>
            <w:r>
              <w:rPr/>
              <w:t>The system shall display, to authorized Group-level users, counts of total companies, branches, employees, customers and suppliers.</w:t>
            </w:r>
          </w:p>
        </w:tc>
        <w:tc>
          <w:tcPr>
            <w:tcW w:w="886" w:type="dxa"/>
            <w:tcBorders/>
            <w:vAlign w:val="center"/>
          </w:tcPr>
          <w:p>
            <w:pPr>
              <w:pStyle w:val="TableContents"/>
              <w:bidi w:val="0"/>
              <w:spacing w:before="0" w:after="283"/>
              <w:jc w:val="left"/>
              <w:rPr/>
            </w:pPr>
            <w:r>
              <w:rPr/>
              <w:t>Must</w:t>
            </w:r>
          </w:p>
        </w:tc>
      </w:tr>
      <w:tr>
        <w:trPr/>
        <w:tc>
          <w:tcPr>
            <w:tcW w:w="1137" w:type="dxa"/>
            <w:tcBorders/>
            <w:vAlign w:val="center"/>
          </w:tcPr>
          <w:p>
            <w:pPr>
              <w:pStyle w:val="TableContents"/>
              <w:bidi w:val="0"/>
              <w:spacing w:before="0" w:after="283"/>
              <w:jc w:val="left"/>
              <w:rPr/>
            </w:pPr>
            <w:r>
              <w:rPr/>
              <w:t>FR-DASH-02</w:t>
            </w:r>
          </w:p>
        </w:tc>
        <w:tc>
          <w:tcPr>
            <w:tcW w:w="9316" w:type="dxa"/>
            <w:tcBorders/>
            <w:vAlign w:val="center"/>
          </w:tcPr>
          <w:p>
            <w:pPr>
              <w:pStyle w:val="TableContents"/>
              <w:bidi w:val="0"/>
              <w:spacing w:before="0" w:after="283"/>
              <w:jc w:val="left"/>
              <w:rPr/>
            </w:pPr>
            <w:r>
              <w:rPr/>
              <w:t>The system shall display a summary of the chart of accounts and current trial balance status to authorized finance users.</w:t>
            </w:r>
          </w:p>
        </w:tc>
        <w:tc>
          <w:tcPr>
            <w:tcW w:w="886" w:type="dxa"/>
            <w:tcBorders/>
            <w:vAlign w:val="center"/>
          </w:tcPr>
          <w:p>
            <w:pPr>
              <w:pStyle w:val="TableContents"/>
              <w:bidi w:val="0"/>
              <w:spacing w:before="0" w:after="283"/>
              <w:jc w:val="left"/>
              <w:rPr/>
            </w:pPr>
            <w:r>
              <w:rPr/>
              <w:t>Should</w:t>
            </w:r>
          </w:p>
        </w:tc>
      </w:tr>
      <w:tr>
        <w:trPr/>
        <w:tc>
          <w:tcPr>
            <w:tcW w:w="1137" w:type="dxa"/>
            <w:tcBorders/>
            <w:vAlign w:val="center"/>
          </w:tcPr>
          <w:p>
            <w:pPr>
              <w:pStyle w:val="TableContents"/>
              <w:bidi w:val="0"/>
              <w:spacing w:before="0" w:after="283"/>
              <w:jc w:val="left"/>
              <w:rPr/>
            </w:pPr>
            <w:r>
              <w:rPr/>
              <w:t>FR-DASH-03</w:t>
            </w:r>
          </w:p>
        </w:tc>
        <w:tc>
          <w:tcPr>
            <w:tcW w:w="9316" w:type="dxa"/>
            <w:tcBorders/>
            <w:vAlign w:val="center"/>
          </w:tcPr>
          <w:p>
            <w:pPr>
              <w:pStyle w:val="TableContents"/>
              <w:bidi w:val="0"/>
              <w:spacing w:before="0" w:after="283"/>
              <w:jc w:val="left"/>
              <w:rPr/>
            </w:pPr>
            <w:r>
              <w:rPr/>
              <w:t>The system shall provide a subsidiary-scoped dashboard view showing only the data belonging to that subsidiary, for subsidiary-level users.</w:t>
            </w:r>
          </w:p>
        </w:tc>
        <w:tc>
          <w:tcPr>
            <w:tcW w:w="886" w:type="dxa"/>
            <w:tcBorders/>
            <w:vAlign w:val="center"/>
          </w:tcPr>
          <w:p>
            <w:pPr>
              <w:pStyle w:val="TableContents"/>
              <w:bidi w:val="0"/>
              <w:spacing w:before="0" w:after="283"/>
              <w:jc w:val="left"/>
              <w:rPr/>
            </w:pPr>
            <w:r>
              <w:rPr/>
              <w:t>Must</w:t>
            </w:r>
          </w:p>
        </w:tc>
      </w:tr>
      <w:tr>
        <w:trPr/>
        <w:tc>
          <w:tcPr>
            <w:tcW w:w="1137" w:type="dxa"/>
            <w:tcBorders/>
            <w:vAlign w:val="center"/>
          </w:tcPr>
          <w:p>
            <w:pPr>
              <w:pStyle w:val="TableContents"/>
              <w:bidi w:val="0"/>
              <w:spacing w:before="0" w:after="283"/>
              <w:jc w:val="left"/>
              <w:rPr/>
            </w:pPr>
            <w:r>
              <w:rPr/>
              <w:t>FR-DASH-04</w:t>
            </w:r>
          </w:p>
        </w:tc>
        <w:tc>
          <w:tcPr>
            <w:tcW w:w="9316" w:type="dxa"/>
            <w:tcBorders/>
            <w:vAlign w:val="center"/>
          </w:tcPr>
          <w:p>
            <w:pPr>
              <w:pStyle w:val="TableContents"/>
              <w:bidi w:val="0"/>
              <w:spacing w:before="0" w:after="283"/>
              <w:jc w:val="left"/>
              <w:rPr/>
            </w:pPr>
            <w:r>
              <w:rPr/>
              <w:t>The system shall display a recent activity/audit summary to administrators and auditors.</w:t>
            </w:r>
          </w:p>
        </w:tc>
        <w:tc>
          <w:tcPr>
            <w:tcW w:w="886" w:type="dxa"/>
            <w:tcBorders/>
            <w:vAlign w:val="center"/>
          </w:tcPr>
          <w:p>
            <w:pPr>
              <w:pStyle w:val="TableContents"/>
              <w:bidi w:val="0"/>
              <w:spacing w:before="0" w:after="283"/>
              <w:jc w:val="left"/>
              <w:rPr/>
            </w:pPr>
            <w:r>
              <w:rPr/>
              <w:t>Should</w:t>
            </w:r>
          </w:p>
        </w:tc>
      </w:tr>
      <w:tr>
        <w:trPr/>
        <w:tc>
          <w:tcPr>
            <w:tcW w:w="1137" w:type="dxa"/>
            <w:tcBorders/>
            <w:vAlign w:val="center"/>
          </w:tcPr>
          <w:p>
            <w:pPr>
              <w:pStyle w:val="TableContents"/>
              <w:bidi w:val="0"/>
              <w:spacing w:before="0" w:after="283"/>
              <w:jc w:val="left"/>
              <w:rPr/>
            </w:pPr>
            <w:r>
              <w:t>FR-DASH-05</w:t>
            </w:r>
          </w:p>
        </w:tc>
        <w:tc>
          <w:tcPr>
            <w:tcW w:w="9316" w:type="dxa"/>
            <w:tcBorders/>
            <w:vAlign w:val="center"/>
          </w:tcPr>
          <w:p>
            <w:pPr>
              <w:pStyle w:val="TableContents"/>
              <w:bidi w:val="0"/>
              <w:spacing w:before="0" w:after="283"/>
              <w:jc w:val="left"/>
              <w:rPr/>
            </w:pPr>
            <w:r>
              <w:t>The system shall display, to authorized Group-level and subsidiary-scoped users respectively, total asset value, total revenue, total expenses, net profit, cash position, bank balances, outstanding receivables, outstanding payables, outstanding inter-company loans, current project counts by status, group-wide pending approval counts, employee statistics, a company performance comparison, four monthly trend charts (revenue, expense, profit and loss, cash flow) and financial/operational alerts. Inventory value, sales performance and procurement performance are explicitly out of scope — no Inventory, Sales or Procurement module exists in this codebase.</w:t>
            </w:r>
          </w:p>
        </w:tc>
        <w:tc>
          <w:tcPr>
            <w:tcW w:w="886" w:type="dxa"/>
            <w:tcBorders/>
            <w:vAlign w:val="center"/>
          </w:tcPr>
          <w:p>
            <w:pPr>
              <w:pStyle w:val="TableContents"/>
              <w:bidi w:val="0"/>
              <w:spacing w:before="0" w:after="283"/>
              <w:jc w:val="left"/>
              <w:rPr/>
            </w:pPr>
            <w:r>
              <w:t>Could</w:t>
            </w:r>
          </w:p>
        </w:tc>
      </w:tr>
    </w:tbl>
    <w:p>
      <w:pPr>
        <w:pStyle w:val="BodyText"/>
        <w:bidi w:val="0"/>
        <w:spacing w:before="150" w:after="150"/>
        <w:ind w:hanging="0" w:left="150" w:right="150"/>
        <w:jc w:val="left"/>
        <w:rPr>
          <w:sz w:val="21"/>
          <w:bdr w:val="single" w:sz="24" w:space="9" w:color="B33A3A"/>
          <w:shd w:fill="FBEAEA" w:val="clear"/>
        </w:rPr>
      </w:pPr>
      <w:r>
        <w:rPr>
          <w:b/>
          <w:sz w:val="21"/>
          <w:bdr w:val="single" w:sz="24" w:space="9" w:color="B33A3A"/>
          <w:shd w:fill="FBEAEA" w:val="clear"/>
        </w:rPr>
        <w:t>Explicitly deferred:</w:t>
      </w:r>
      <w:r>
        <w:rPr>
          <w:sz w:val="21"/>
          <w:bdr w:val="single" w:sz="24" w:space="9" w:color="B33A3A"/>
          <w:shd w:fill="FBEAEA" w:val="clear"/>
        </w:rPr>
        <w:t xml:space="preserve"> revenue/expense/profit charts, cash-flow charts, sales and procurement performance widgets, and role-specific dashboards depend on transactional data from Phase 2–3 modules and are out of scope until those modules exist.</w:t>
      </w:r>
    </w:p>
    <w:p>
      <w:pPr>
        <w:pStyle w:val="Heading3"/>
        <w:bidi w:val="0"/>
        <w:jc w:val="left"/>
        <w:rPr/>
      </w:pPr>
      <w:r>
        <w:rPr/>
        <w:t>4.5 Employee Records</w:t>
      </w:r>
    </w:p>
    <w:tbl>
      <w:tblPr>
        <w:tblW w:w="11339" w:type="dxa"/>
        <w:jc w:val="left"/>
        <w:tblInd w:w="28" w:type="dxa"/>
        <w:tblLayout w:type="fixed"/>
        <w:tblCellMar>
          <w:top w:w="28" w:type="dxa"/>
          <w:left w:w="28" w:type="dxa"/>
          <w:bottom w:w="28" w:type="dxa"/>
          <w:right w:w="28" w:type="dxa"/>
        </w:tblCellMar>
      </w:tblPr>
      <w:tblGrid>
        <w:gridCol w:w="1026"/>
        <w:gridCol w:w="9427"/>
        <w:gridCol w:w="886"/>
      </w:tblGrid>
      <w:tr>
        <w:trPr/>
        <w:tc>
          <w:tcPr>
            <w:tcW w:w="1026" w:type="dxa"/>
            <w:tcBorders/>
            <w:vAlign w:val="center"/>
          </w:tcPr>
          <w:p>
            <w:pPr>
              <w:pStyle w:val="TableHeading"/>
              <w:suppressLineNumbers/>
              <w:shd w:fill="1F3864" w:val="clear"/>
              <w:bidi w:val="0"/>
              <w:spacing w:before="0" w:after="283"/>
              <w:jc w:val="left"/>
              <w:rPr/>
            </w:pPr>
            <w:r>
              <w:rPr/>
              <w:t>ID</w:t>
            </w:r>
          </w:p>
        </w:tc>
        <w:tc>
          <w:tcPr>
            <w:tcW w:w="9427" w:type="dxa"/>
            <w:tcBorders/>
            <w:vAlign w:val="center"/>
          </w:tcPr>
          <w:p>
            <w:pPr>
              <w:pStyle w:val="TableHeading"/>
              <w:suppressLineNumbers/>
              <w:shd w:fill="1F3864" w:val="clear"/>
              <w:bidi w:val="0"/>
              <w:spacing w:before="0" w:after="283"/>
              <w:jc w:val="left"/>
              <w:rPr/>
            </w:pPr>
            <w:r>
              <w:rPr/>
              <w:t>Requirement</w:t>
            </w:r>
          </w:p>
        </w:tc>
        <w:tc>
          <w:tcPr>
            <w:tcW w:w="886" w:type="dxa"/>
            <w:tcBorders/>
            <w:vAlign w:val="center"/>
          </w:tcPr>
          <w:p>
            <w:pPr>
              <w:pStyle w:val="TableHeading"/>
              <w:suppressLineNumbers/>
              <w:shd w:fill="1F3864" w:val="clear"/>
              <w:bidi w:val="0"/>
              <w:spacing w:before="0" w:after="283"/>
              <w:jc w:val="left"/>
              <w:rPr/>
            </w:pPr>
            <w:r>
              <w:rPr/>
              <w:t>Priority</w:t>
            </w:r>
          </w:p>
        </w:tc>
      </w:tr>
      <w:tr>
        <w:trPr/>
        <w:tc>
          <w:tcPr>
            <w:tcW w:w="1026" w:type="dxa"/>
            <w:tcBorders/>
            <w:vAlign w:val="center"/>
          </w:tcPr>
          <w:p>
            <w:pPr>
              <w:pStyle w:val="TableContents"/>
              <w:bidi w:val="0"/>
              <w:spacing w:before="0" w:after="283"/>
              <w:jc w:val="left"/>
              <w:rPr/>
            </w:pPr>
            <w:r>
              <w:rPr/>
              <w:t>FR-EMP-01</w:t>
            </w:r>
          </w:p>
        </w:tc>
        <w:tc>
          <w:tcPr>
            <w:tcW w:w="9427" w:type="dxa"/>
            <w:tcBorders/>
            <w:vAlign w:val="center"/>
          </w:tcPr>
          <w:p>
            <w:pPr>
              <w:pStyle w:val="TableContents"/>
              <w:bidi w:val="0"/>
              <w:spacing w:before="0" w:after="283"/>
              <w:jc w:val="left"/>
              <w:rPr/>
            </w:pPr>
            <w:r>
              <w:rPr/>
              <w:t>The system shall allow registration of employees with identification details, employee number, job title, department, branch and company.</w:t>
            </w:r>
          </w:p>
        </w:tc>
        <w:tc>
          <w:tcPr>
            <w:tcW w:w="886" w:type="dxa"/>
            <w:tcBorders/>
            <w:vAlign w:val="center"/>
          </w:tcPr>
          <w:p>
            <w:pPr>
              <w:pStyle w:val="TableContents"/>
              <w:bidi w:val="0"/>
              <w:spacing w:before="0" w:after="283"/>
              <w:jc w:val="left"/>
              <w:rPr/>
            </w:pPr>
            <w:r>
              <w:rPr/>
              <w:t>Must</w:t>
            </w:r>
          </w:p>
        </w:tc>
      </w:tr>
      <w:tr>
        <w:trPr/>
        <w:tc>
          <w:tcPr>
            <w:tcW w:w="1026" w:type="dxa"/>
            <w:tcBorders/>
            <w:vAlign w:val="center"/>
          </w:tcPr>
          <w:p>
            <w:pPr>
              <w:pStyle w:val="TableContents"/>
              <w:bidi w:val="0"/>
              <w:spacing w:before="0" w:after="283"/>
              <w:jc w:val="left"/>
              <w:rPr/>
            </w:pPr>
            <w:r>
              <w:rPr/>
              <w:t>FR-EMP-02</w:t>
            </w:r>
          </w:p>
        </w:tc>
        <w:tc>
          <w:tcPr>
            <w:tcW w:w="9427" w:type="dxa"/>
            <w:tcBorders/>
            <w:vAlign w:val="center"/>
          </w:tcPr>
          <w:p>
            <w:pPr>
              <w:pStyle w:val="TableContents"/>
              <w:bidi w:val="0"/>
              <w:spacing w:before="0" w:after="283"/>
              <w:jc w:val="left"/>
              <w:rPr/>
            </w:pPr>
            <w:r>
              <w:rPr/>
              <w:t>The system shall record employment history, contracts and job descriptions for each employee.</w:t>
            </w:r>
          </w:p>
        </w:tc>
        <w:tc>
          <w:tcPr>
            <w:tcW w:w="886" w:type="dxa"/>
            <w:tcBorders/>
            <w:vAlign w:val="center"/>
          </w:tcPr>
          <w:p>
            <w:pPr>
              <w:pStyle w:val="TableContents"/>
              <w:bidi w:val="0"/>
              <w:spacing w:before="0" w:after="283"/>
              <w:jc w:val="left"/>
              <w:rPr/>
            </w:pPr>
            <w:r>
              <w:rPr/>
              <w:t>Should</w:t>
            </w:r>
          </w:p>
        </w:tc>
      </w:tr>
      <w:tr>
        <w:trPr/>
        <w:tc>
          <w:tcPr>
            <w:tcW w:w="1026" w:type="dxa"/>
            <w:tcBorders/>
            <w:vAlign w:val="center"/>
          </w:tcPr>
          <w:p>
            <w:pPr>
              <w:pStyle w:val="TableContents"/>
              <w:bidi w:val="0"/>
              <w:spacing w:before="0" w:after="283"/>
              <w:jc w:val="left"/>
              <w:rPr/>
            </w:pPr>
            <w:r>
              <w:rPr/>
              <w:t>FR-EMP-03</w:t>
            </w:r>
          </w:p>
        </w:tc>
        <w:tc>
          <w:tcPr>
            <w:tcW w:w="9427" w:type="dxa"/>
            <w:tcBorders/>
            <w:vAlign w:val="center"/>
          </w:tcPr>
          <w:p>
            <w:pPr>
              <w:pStyle w:val="TableContents"/>
              <w:bidi w:val="0"/>
              <w:spacing w:before="0" w:after="283"/>
              <w:jc w:val="left"/>
              <w:rPr/>
            </w:pPr>
            <w:r>
              <w:rPr/>
              <w:t>The system shall record qualifications, skills and certifications for each employee.</w:t>
            </w:r>
          </w:p>
        </w:tc>
        <w:tc>
          <w:tcPr>
            <w:tcW w:w="886" w:type="dxa"/>
            <w:tcBorders/>
            <w:vAlign w:val="center"/>
          </w:tcPr>
          <w:p>
            <w:pPr>
              <w:pStyle w:val="TableContents"/>
              <w:bidi w:val="0"/>
              <w:spacing w:before="0" w:after="283"/>
              <w:jc w:val="left"/>
              <w:rPr/>
            </w:pPr>
            <w:r>
              <w:rPr/>
              <w:t>Could</w:t>
            </w:r>
          </w:p>
        </w:tc>
      </w:tr>
      <w:tr>
        <w:trPr/>
        <w:tc>
          <w:tcPr>
            <w:tcW w:w="1026" w:type="dxa"/>
            <w:tcBorders/>
            <w:vAlign w:val="center"/>
          </w:tcPr>
          <w:p>
            <w:pPr>
              <w:pStyle w:val="TableContents"/>
              <w:bidi w:val="0"/>
              <w:spacing w:before="0" w:after="283"/>
              <w:jc w:val="left"/>
              <w:rPr/>
            </w:pPr>
            <w:r>
              <w:rPr/>
              <w:t>FR-EMP-04</w:t>
            </w:r>
          </w:p>
        </w:tc>
        <w:tc>
          <w:tcPr>
            <w:tcW w:w="9427" w:type="dxa"/>
            <w:tcBorders/>
            <w:vAlign w:val="center"/>
          </w:tcPr>
          <w:p>
            <w:pPr>
              <w:pStyle w:val="TableContents"/>
              <w:bidi w:val="0"/>
              <w:spacing w:before="0" w:after="283"/>
              <w:jc w:val="left"/>
              <w:rPr/>
            </w:pPr>
            <w:r>
              <w:rPr/>
              <w:t>The system shall record next of kin and emergency contact details.</w:t>
            </w:r>
          </w:p>
        </w:tc>
        <w:tc>
          <w:tcPr>
            <w:tcW w:w="886" w:type="dxa"/>
            <w:tcBorders/>
            <w:vAlign w:val="center"/>
          </w:tcPr>
          <w:p>
            <w:pPr>
              <w:pStyle w:val="TableContents"/>
              <w:bidi w:val="0"/>
              <w:spacing w:before="0" w:after="283"/>
              <w:jc w:val="left"/>
              <w:rPr/>
            </w:pPr>
            <w:r>
              <w:rPr/>
              <w:t>Should</w:t>
            </w:r>
          </w:p>
        </w:tc>
      </w:tr>
      <w:tr>
        <w:trPr/>
        <w:tc>
          <w:tcPr>
            <w:tcW w:w="1026" w:type="dxa"/>
            <w:tcBorders/>
            <w:vAlign w:val="center"/>
          </w:tcPr>
          <w:p>
            <w:pPr>
              <w:pStyle w:val="TableContents"/>
              <w:bidi w:val="0"/>
              <w:spacing w:before="0" w:after="283"/>
              <w:jc w:val="left"/>
              <w:rPr/>
            </w:pPr>
            <w:r>
              <w:rPr/>
              <w:t>FR-EMP-05</w:t>
            </w:r>
          </w:p>
        </w:tc>
        <w:tc>
          <w:tcPr>
            <w:tcW w:w="9427" w:type="dxa"/>
            <w:tcBorders/>
            <w:vAlign w:val="center"/>
          </w:tcPr>
          <w:p>
            <w:pPr>
              <w:pStyle w:val="TableContents"/>
              <w:bidi w:val="0"/>
              <w:spacing w:before="0" w:after="283"/>
              <w:jc w:val="left"/>
              <w:rPr/>
            </w:pPr>
            <w:r>
              <w:rPr/>
              <w:t>The system shall record employee bank and tax information.</w:t>
            </w:r>
          </w:p>
        </w:tc>
        <w:tc>
          <w:tcPr>
            <w:tcW w:w="886" w:type="dxa"/>
            <w:tcBorders/>
            <w:vAlign w:val="center"/>
          </w:tcPr>
          <w:p>
            <w:pPr>
              <w:pStyle w:val="TableContents"/>
              <w:bidi w:val="0"/>
              <w:spacing w:before="0" w:after="283"/>
              <w:jc w:val="left"/>
              <w:rPr/>
            </w:pPr>
            <w:r>
              <w:rPr/>
              <w:t>Must</w:t>
            </w:r>
          </w:p>
        </w:tc>
      </w:tr>
      <w:tr>
        <w:trPr/>
        <w:tc>
          <w:tcPr>
            <w:tcW w:w="1026" w:type="dxa"/>
            <w:tcBorders/>
            <w:vAlign w:val="center"/>
          </w:tcPr>
          <w:p>
            <w:pPr>
              <w:pStyle w:val="TableContents"/>
              <w:bidi w:val="0"/>
              <w:spacing w:before="0" w:after="283"/>
              <w:jc w:val="left"/>
              <w:rPr/>
            </w:pPr>
            <w:r>
              <w:rPr/>
              <w:t>FR-EMP-06</w:t>
            </w:r>
          </w:p>
        </w:tc>
        <w:tc>
          <w:tcPr>
            <w:tcW w:w="9427" w:type="dxa"/>
            <w:tcBorders/>
            <w:vAlign w:val="center"/>
          </w:tcPr>
          <w:p>
            <w:pPr>
              <w:pStyle w:val="TableContents"/>
              <w:bidi w:val="0"/>
              <w:spacing w:before="0" w:after="283"/>
              <w:jc w:val="left"/>
              <w:rPr/>
            </w:pPr>
            <w:r>
              <w:rPr/>
              <w:t>The system shall allow upload and storage of employee-related documents.</w:t>
            </w:r>
          </w:p>
        </w:tc>
        <w:tc>
          <w:tcPr>
            <w:tcW w:w="886" w:type="dxa"/>
            <w:tcBorders/>
            <w:vAlign w:val="center"/>
          </w:tcPr>
          <w:p>
            <w:pPr>
              <w:pStyle w:val="TableContents"/>
              <w:bidi w:val="0"/>
              <w:spacing w:before="0" w:after="283"/>
              <w:jc w:val="left"/>
              <w:rPr/>
            </w:pPr>
            <w:r>
              <w:rPr/>
              <w:t>Should</w:t>
            </w:r>
          </w:p>
        </w:tc>
      </w:tr>
      <w:tr>
        <w:trPr/>
        <w:tc>
          <w:tcPr>
            <w:tcW w:w="1026" w:type="dxa"/>
            <w:tcBorders/>
            <w:vAlign w:val="center"/>
          </w:tcPr>
          <w:p>
            <w:pPr>
              <w:pStyle w:val="TableContents"/>
              <w:bidi w:val="0"/>
              <w:spacing w:before="0" w:after="283"/>
              <w:jc w:val="left"/>
              <w:rPr/>
            </w:pPr>
            <w:r>
              <w:t>FR-EMP-07</w:t>
            </w:r>
          </w:p>
        </w:tc>
        <w:tc>
          <w:tcPr>
            <w:tcW w:w="9427" w:type="dxa"/>
            <w:tcBorders/>
            <w:vAlign w:val="center"/>
          </w:tcPr>
          <w:p>
            <w:pPr>
              <w:pStyle w:val="TableContents"/>
              <w:bidi w:val="0"/>
              <w:spacing w:before="0" w:after="283"/>
              <w:jc w:val="left"/>
              <w:rPr/>
            </w:pPr>
            <w:r>
              <w:t>The system shall maintain a history of an employee's prior positions (job title, department, branch) as their assignment changes over time, distinct from their current position.</w:t>
            </w:r>
          </w:p>
        </w:tc>
        <w:tc>
          <w:tcPr>
            <w:tcW w:w="886" w:type="dxa"/>
            <w:tcBorders/>
            <w:vAlign w:val="center"/>
          </w:tcPr>
          <w:p>
            <w:pPr>
              <w:pStyle w:val="TableContents"/>
              <w:bidi w:val="0"/>
              <w:spacing w:before="0" w:after="283"/>
              <w:jc w:val="left"/>
              <w:rPr/>
            </w:pPr>
            <w:r>
              <w:t>Should</w:t>
            </w:r>
          </w:p>
        </w:tc>
      </w:tr>
    </w:tbl>
    <w:p>
      <w:pPr>
        <w:pStyle w:val="BodyText"/>
        <w:bidi w:val="0"/>
        <w:spacing w:before="150" w:after="150"/>
        <w:ind w:hanging="0" w:left="150" w:right="150"/>
        <w:jc w:val="left"/>
        <w:rPr>
          <w:sz w:val="21"/>
          <w:bdr w:val="single" w:sz="24" w:space="9" w:color="B33A3A"/>
          <w:shd w:fill="FBEAEA" w:val="clear"/>
        </w:rPr>
      </w:pPr>
      <w:r>
        <w:rPr>
          <w:b/>
          <w:sz w:val="21"/>
          <w:bdr w:val="single" w:sz="24" w:space="9" w:color="B33A3A"/>
          <w:shd w:fill="FBEAEA" w:val="clear"/>
        </w:rPr>
        <w:t>Explicitly deferred:</w:t>
      </w:r>
      <w:r>
        <w:rPr>
          <w:sz w:val="21"/>
          <w:bdr w:val="single" w:sz="24" w:space="9" w:color="B33A3A"/>
          <w:shd w:fill="FBEAEA" w:val="clear"/>
        </w:rPr>
        <w:t xml:space="preserve"> recruitment, attendance/clock-in, leave management and performance appraisal are Phase 4 features.</w:t>
      </w:r>
    </w:p>
    <w:p>
      <w:pPr>
        <w:pStyle w:val="Heading3"/>
        <w:bidi w:val="0"/>
        <w:jc w:val="left"/>
        <w:rPr/>
      </w:pPr>
      <w:r>
        <w:rPr/>
        <w:t>4.6 Customer Records</w:t>
      </w:r>
    </w:p>
    <w:tbl>
      <w:tblPr>
        <w:tblW w:w="11339" w:type="dxa"/>
        <w:jc w:val="left"/>
        <w:tblInd w:w="28" w:type="dxa"/>
        <w:tblLayout w:type="fixed"/>
        <w:tblCellMar>
          <w:top w:w="28" w:type="dxa"/>
          <w:left w:w="28" w:type="dxa"/>
          <w:bottom w:w="28" w:type="dxa"/>
          <w:right w:w="28" w:type="dxa"/>
        </w:tblCellMar>
      </w:tblPr>
      <w:tblGrid>
        <w:gridCol w:w="1154"/>
        <w:gridCol w:w="9299"/>
        <w:gridCol w:w="886"/>
      </w:tblGrid>
      <w:tr>
        <w:trPr/>
        <w:tc>
          <w:tcPr>
            <w:tcW w:w="1154" w:type="dxa"/>
            <w:tcBorders/>
            <w:vAlign w:val="center"/>
          </w:tcPr>
          <w:p>
            <w:pPr>
              <w:pStyle w:val="TableHeading"/>
              <w:suppressLineNumbers/>
              <w:shd w:fill="1F3864" w:val="clear"/>
              <w:bidi w:val="0"/>
              <w:spacing w:before="0" w:after="283"/>
              <w:jc w:val="left"/>
              <w:rPr/>
            </w:pPr>
            <w:r>
              <w:rPr/>
              <w:t>ID</w:t>
            </w:r>
          </w:p>
        </w:tc>
        <w:tc>
          <w:tcPr>
            <w:tcW w:w="9299" w:type="dxa"/>
            <w:tcBorders/>
            <w:vAlign w:val="center"/>
          </w:tcPr>
          <w:p>
            <w:pPr>
              <w:pStyle w:val="TableHeading"/>
              <w:suppressLineNumbers/>
              <w:shd w:fill="1F3864" w:val="clear"/>
              <w:bidi w:val="0"/>
              <w:spacing w:before="0" w:after="283"/>
              <w:jc w:val="left"/>
              <w:rPr/>
            </w:pPr>
            <w:r>
              <w:rPr/>
              <w:t>Requirement</w:t>
            </w:r>
          </w:p>
        </w:tc>
        <w:tc>
          <w:tcPr>
            <w:tcW w:w="886" w:type="dxa"/>
            <w:tcBorders/>
            <w:vAlign w:val="center"/>
          </w:tcPr>
          <w:p>
            <w:pPr>
              <w:pStyle w:val="TableHeading"/>
              <w:suppressLineNumbers/>
              <w:shd w:fill="1F3864" w:val="clear"/>
              <w:bidi w:val="0"/>
              <w:spacing w:before="0" w:after="283"/>
              <w:jc w:val="left"/>
              <w:rPr/>
            </w:pPr>
            <w:r>
              <w:rPr/>
              <w:t>Priority</w:t>
            </w:r>
          </w:p>
        </w:tc>
      </w:tr>
      <w:tr>
        <w:trPr/>
        <w:tc>
          <w:tcPr>
            <w:tcW w:w="1154" w:type="dxa"/>
            <w:tcBorders/>
            <w:vAlign w:val="center"/>
          </w:tcPr>
          <w:p>
            <w:pPr>
              <w:pStyle w:val="TableContents"/>
              <w:bidi w:val="0"/>
              <w:spacing w:before="0" w:after="283"/>
              <w:jc w:val="left"/>
              <w:rPr/>
            </w:pPr>
            <w:r>
              <w:rPr/>
              <w:t>FR-CUST-01</w:t>
            </w:r>
          </w:p>
        </w:tc>
        <w:tc>
          <w:tcPr>
            <w:tcW w:w="9299" w:type="dxa"/>
            <w:tcBorders/>
            <w:vAlign w:val="center"/>
          </w:tcPr>
          <w:p>
            <w:pPr>
              <w:pStyle w:val="TableContents"/>
              <w:bidi w:val="0"/>
              <w:spacing w:before="0" w:after="283"/>
              <w:jc w:val="left"/>
              <w:rPr/>
            </w:pPr>
            <w:r>
              <w:rPr/>
              <w:t>The system shall allow registration of customers with profile, contact and category information.</w:t>
            </w:r>
          </w:p>
        </w:tc>
        <w:tc>
          <w:tcPr>
            <w:tcW w:w="886" w:type="dxa"/>
            <w:tcBorders/>
            <w:vAlign w:val="center"/>
          </w:tcPr>
          <w:p>
            <w:pPr>
              <w:pStyle w:val="TableContents"/>
              <w:bidi w:val="0"/>
              <w:spacing w:before="0" w:after="283"/>
              <w:jc w:val="left"/>
              <w:rPr/>
            </w:pPr>
            <w:r>
              <w:rPr/>
              <w:t>Must</w:t>
            </w:r>
          </w:p>
        </w:tc>
      </w:tr>
      <w:tr>
        <w:trPr/>
        <w:tc>
          <w:tcPr>
            <w:tcW w:w="1154" w:type="dxa"/>
            <w:tcBorders/>
            <w:vAlign w:val="center"/>
          </w:tcPr>
          <w:p>
            <w:pPr>
              <w:pStyle w:val="TableContents"/>
              <w:bidi w:val="0"/>
              <w:spacing w:before="0" w:after="283"/>
              <w:jc w:val="left"/>
              <w:rPr/>
            </w:pPr>
            <w:r>
              <w:rPr/>
              <w:t>FR-CUST-02</w:t>
            </w:r>
          </w:p>
        </w:tc>
        <w:tc>
          <w:tcPr>
            <w:tcW w:w="9299" w:type="dxa"/>
            <w:tcBorders/>
            <w:vAlign w:val="center"/>
          </w:tcPr>
          <w:p>
            <w:pPr>
              <w:pStyle w:val="TableContents"/>
              <w:bidi w:val="0"/>
              <w:spacing w:before="0" w:after="283"/>
              <w:jc w:val="left"/>
              <w:rPr/>
            </w:pPr>
            <w:r>
              <w:rPr/>
              <w:t>The system shall allow customer credit limits and payment terms to be recorded.</w:t>
            </w:r>
          </w:p>
        </w:tc>
        <w:tc>
          <w:tcPr>
            <w:tcW w:w="886" w:type="dxa"/>
            <w:tcBorders/>
            <w:vAlign w:val="center"/>
          </w:tcPr>
          <w:p>
            <w:pPr>
              <w:pStyle w:val="TableContents"/>
              <w:bidi w:val="0"/>
              <w:spacing w:before="0" w:after="283"/>
              <w:jc w:val="left"/>
              <w:rPr/>
            </w:pPr>
            <w:r>
              <w:rPr/>
              <w:t>Should</w:t>
            </w:r>
          </w:p>
        </w:tc>
      </w:tr>
      <w:tr>
        <w:trPr/>
        <w:tc>
          <w:tcPr>
            <w:tcW w:w="1154" w:type="dxa"/>
            <w:tcBorders/>
            <w:vAlign w:val="center"/>
          </w:tcPr>
          <w:p>
            <w:pPr>
              <w:pStyle w:val="TableContents"/>
              <w:bidi w:val="0"/>
              <w:spacing w:before="0" w:after="283"/>
              <w:jc w:val="left"/>
              <w:rPr/>
            </w:pPr>
            <w:r>
              <w:rPr/>
              <w:t>FR-CUST-03</w:t>
            </w:r>
          </w:p>
        </w:tc>
        <w:tc>
          <w:tcPr>
            <w:tcW w:w="9299" w:type="dxa"/>
            <w:tcBorders/>
            <w:vAlign w:val="center"/>
          </w:tcPr>
          <w:p>
            <w:pPr>
              <w:pStyle w:val="TableContents"/>
              <w:bidi w:val="0"/>
              <w:spacing w:before="0" w:after="283"/>
              <w:jc w:val="left"/>
              <w:rPr/>
            </w:pPr>
            <w:r>
              <w:rPr/>
              <w:t>The system shall maintain a record of customer history and allow generation of a basic customer statement.</w:t>
            </w:r>
          </w:p>
        </w:tc>
        <w:tc>
          <w:tcPr>
            <w:tcW w:w="886" w:type="dxa"/>
            <w:tcBorders/>
            <w:vAlign w:val="center"/>
          </w:tcPr>
          <w:p>
            <w:pPr>
              <w:pStyle w:val="TableContents"/>
              <w:bidi w:val="0"/>
              <w:spacing w:before="0" w:after="283"/>
              <w:jc w:val="left"/>
              <w:rPr/>
            </w:pPr>
            <w:r>
              <w:rPr/>
              <w:t>Should</w:t>
            </w:r>
          </w:p>
        </w:tc>
      </w:tr>
    </w:tbl>
    <w:p>
      <w:pPr>
        <w:pStyle w:val="BodyText"/>
        <w:bidi w:val="0"/>
        <w:spacing w:before="150" w:after="150"/>
        <w:ind w:hanging="0" w:left="150" w:right="150"/>
        <w:jc w:val="left"/>
        <w:rPr>
          <w:sz w:val="21"/>
          <w:bdr w:val="single" w:sz="24" w:space="9" w:color="B33A3A"/>
          <w:shd w:fill="FBEAEA" w:val="clear"/>
        </w:rPr>
      </w:pPr>
      <w:r>
        <w:rPr>
          <w:b/>
          <w:sz w:val="21"/>
          <w:bdr w:val="single" w:sz="24" w:space="9" w:color="B33A3A"/>
          <w:shd w:fill="FBEAEA" w:val="clear"/>
        </w:rPr>
        <w:t>Explicitly deferred:</w:t>
      </w:r>
      <w:r>
        <w:rPr>
          <w:sz w:val="21"/>
          <w:bdr w:val="single" w:sz="24" w:space="9" w:color="B33A3A"/>
          <w:shd w:fill="FBEAEA" w:val="clear"/>
        </w:rPr>
        <w:t xml:space="preserve"> quotations, sales orders, invoicing, CRM are Phase 2/4 features.</w:t>
      </w:r>
    </w:p>
    <w:p>
      <w:pPr>
        <w:pStyle w:val="Heading3"/>
        <w:bidi w:val="0"/>
        <w:jc w:val="left"/>
        <w:rPr/>
      </w:pPr>
      <w:r>
        <w:rPr/>
        <w:t>4.7 Supplier Records</w:t>
      </w:r>
    </w:p>
    <w:tbl>
      <w:tblPr>
        <w:tblW w:w="10759" w:type="dxa"/>
        <w:jc w:val="left"/>
        <w:tblInd w:w="28" w:type="dxa"/>
        <w:tblLayout w:type="fixed"/>
        <w:tblCellMar>
          <w:top w:w="28" w:type="dxa"/>
          <w:left w:w="28" w:type="dxa"/>
          <w:bottom w:w="28" w:type="dxa"/>
          <w:right w:w="28" w:type="dxa"/>
        </w:tblCellMar>
      </w:tblPr>
      <w:tblGrid>
        <w:gridCol w:w="1176"/>
        <w:gridCol w:w="8698"/>
        <w:gridCol w:w="885"/>
      </w:tblGrid>
      <w:tr>
        <w:trPr/>
        <w:tc>
          <w:tcPr>
            <w:tcW w:w="1176" w:type="dxa"/>
            <w:tcBorders/>
            <w:vAlign w:val="center"/>
          </w:tcPr>
          <w:p>
            <w:pPr>
              <w:pStyle w:val="TableHeading"/>
              <w:suppressLineNumbers/>
              <w:shd w:fill="1F3864" w:val="clear"/>
              <w:bidi w:val="0"/>
              <w:spacing w:before="0" w:after="283"/>
              <w:jc w:val="left"/>
              <w:rPr/>
            </w:pPr>
            <w:r>
              <w:rPr/>
              <w:t>ID</w:t>
            </w:r>
          </w:p>
        </w:tc>
        <w:tc>
          <w:tcPr>
            <w:tcW w:w="8698" w:type="dxa"/>
            <w:tcBorders/>
            <w:vAlign w:val="center"/>
          </w:tcPr>
          <w:p>
            <w:pPr>
              <w:pStyle w:val="TableHeading"/>
              <w:suppressLineNumbers/>
              <w:shd w:fill="1F3864" w:val="clear"/>
              <w:bidi w:val="0"/>
              <w:spacing w:before="0" w:after="283"/>
              <w:jc w:val="left"/>
              <w:rPr/>
            </w:pPr>
            <w:r>
              <w:rPr/>
              <w:t>Requirement</w:t>
            </w:r>
          </w:p>
        </w:tc>
        <w:tc>
          <w:tcPr>
            <w:tcW w:w="885" w:type="dxa"/>
            <w:tcBorders/>
            <w:vAlign w:val="center"/>
          </w:tcPr>
          <w:p>
            <w:pPr>
              <w:pStyle w:val="TableHeading"/>
              <w:suppressLineNumbers/>
              <w:shd w:fill="1F3864" w:val="clear"/>
              <w:bidi w:val="0"/>
              <w:spacing w:before="0" w:after="283"/>
              <w:jc w:val="left"/>
              <w:rPr/>
            </w:pPr>
            <w:r>
              <w:rPr/>
              <w:t>Priority</w:t>
            </w:r>
          </w:p>
        </w:tc>
      </w:tr>
      <w:tr>
        <w:trPr/>
        <w:tc>
          <w:tcPr>
            <w:tcW w:w="1176" w:type="dxa"/>
            <w:tcBorders/>
            <w:vAlign w:val="center"/>
          </w:tcPr>
          <w:p>
            <w:pPr>
              <w:pStyle w:val="TableContents"/>
              <w:bidi w:val="0"/>
              <w:spacing w:before="0" w:after="283"/>
              <w:jc w:val="left"/>
              <w:rPr/>
            </w:pPr>
            <w:r>
              <w:rPr/>
              <w:t>FR-SUPP-01</w:t>
            </w:r>
          </w:p>
        </w:tc>
        <w:tc>
          <w:tcPr>
            <w:tcW w:w="8698" w:type="dxa"/>
            <w:tcBorders/>
            <w:vAlign w:val="center"/>
          </w:tcPr>
          <w:p>
            <w:pPr>
              <w:pStyle w:val="TableContents"/>
              <w:bidi w:val="0"/>
              <w:spacing w:before="0" w:after="283"/>
              <w:jc w:val="left"/>
              <w:rPr/>
            </w:pPr>
            <w:r>
              <w:rPr/>
              <w:t>The system shall allow registration of suppliers with profile, category and contact information.</w:t>
            </w:r>
          </w:p>
        </w:tc>
        <w:tc>
          <w:tcPr>
            <w:tcW w:w="885" w:type="dxa"/>
            <w:tcBorders/>
            <w:vAlign w:val="center"/>
          </w:tcPr>
          <w:p>
            <w:pPr>
              <w:pStyle w:val="TableContents"/>
              <w:bidi w:val="0"/>
              <w:spacing w:before="0" w:after="283"/>
              <w:jc w:val="left"/>
              <w:rPr/>
            </w:pPr>
            <w:r>
              <w:rPr/>
              <w:t>Must</w:t>
            </w:r>
          </w:p>
        </w:tc>
      </w:tr>
      <w:tr>
        <w:trPr/>
        <w:tc>
          <w:tcPr>
            <w:tcW w:w="1176" w:type="dxa"/>
            <w:tcBorders/>
            <w:vAlign w:val="center"/>
          </w:tcPr>
          <w:p>
            <w:pPr>
              <w:pStyle w:val="TableContents"/>
              <w:bidi w:val="0"/>
              <w:spacing w:before="0" w:after="283"/>
              <w:jc w:val="left"/>
              <w:rPr/>
            </w:pPr>
            <w:r>
              <w:rPr/>
              <w:t>FR-SUPP-02</w:t>
            </w:r>
          </w:p>
        </w:tc>
        <w:tc>
          <w:tcPr>
            <w:tcW w:w="8698" w:type="dxa"/>
            <w:tcBorders/>
            <w:vAlign w:val="center"/>
          </w:tcPr>
          <w:p>
            <w:pPr>
              <w:pStyle w:val="TableContents"/>
              <w:bidi w:val="0"/>
              <w:spacing w:before="0" w:after="283"/>
              <w:jc w:val="left"/>
              <w:rPr/>
            </w:pPr>
            <w:r>
              <w:rPr/>
              <w:t>The system shall record supplier contracts, documents, tax information and bank details.</w:t>
            </w:r>
          </w:p>
        </w:tc>
        <w:tc>
          <w:tcPr>
            <w:tcW w:w="885" w:type="dxa"/>
            <w:tcBorders/>
            <w:vAlign w:val="center"/>
          </w:tcPr>
          <w:p>
            <w:pPr>
              <w:pStyle w:val="TableContents"/>
              <w:bidi w:val="0"/>
              <w:spacing w:before="0" w:after="283"/>
              <w:jc w:val="left"/>
              <w:rPr/>
            </w:pPr>
            <w:r>
              <w:rPr/>
              <w:t>Should</w:t>
            </w:r>
          </w:p>
        </w:tc>
      </w:tr>
      <w:tr>
        <w:trPr/>
        <w:tc>
          <w:tcPr>
            <w:tcW w:w="1176" w:type="dxa"/>
            <w:tcBorders/>
            <w:vAlign w:val="center"/>
          </w:tcPr>
          <w:p>
            <w:pPr>
              <w:pStyle w:val="TableContents"/>
              <w:bidi w:val="0"/>
              <w:spacing w:before="0" w:after="283"/>
              <w:jc w:val="left"/>
              <w:rPr/>
            </w:pPr>
            <w:r>
              <w:rPr/>
              <w:t>FR-SUPP-03</w:t>
            </w:r>
          </w:p>
        </w:tc>
        <w:tc>
          <w:tcPr>
            <w:tcW w:w="8698" w:type="dxa"/>
            <w:tcBorders/>
            <w:vAlign w:val="center"/>
          </w:tcPr>
          <w:p>
            <w:pPr>
              <w:pStyle w:val="TableContents"/>
              <w:bidi w:val="0"/>
              <w:spacing w:before="0" w:after="283"/>
              <w:jc w:val="left"/>
              <w:rPr/>
            </w:pPr>
            <w:r>
              <w:rPr/>
              <w:t>The system shall allow a supplier to be marked blacklisted/suspended.</w:t>
            </w:r>
          </w:p>
        </w:tc>
        <w:tc>
          <w:tcPr>
            <w:tcW w:w="885" w:type="dxa"/>
            <w:tcBorders/>
            <w:vAlign w:val="center"/>
          </w:tcPr>
          <w:p>
            <w:pPr>
              <w:pStyle w:val="TableContents"/>
              <w:bidi w:val="0"/>
              <w:spacing w:before="0" w:after="283"/>
              <w:jc w:val="left"/>
              <w:rPr/>
            </w:pPr>
            <w:r>
              <w:rPr/>
              <w:t>Could</w:t>
            </w:r>
          </w:p>
        </w:tc>
      </w:tr>
    </w:tbl>
    <w:p>
      <w:pPr>
        <w:pStyle w:val="BodyText"/>
        <w:bidi w:val="0"/>
        <w:spacing w:before="150" w:after="150"/>
        <w:ind w:hanging="0" w:left="150" w:right="150"/>
        <w:jc w:val="left"/>
        <w:rPr>
          <w:sz w:val="21"/>
          <w:bdr w:val="single" w:sz="24" w:space="9" w:color="B33A3A"/>
          <w:shd w:fill="FBEAEA" w:val="clear"/>
        </w:rPr>
      </w:pPr>
      <w:r>
        <w:rPr>
          <w:b/>
          <w:sz w:val="21"/>
          <w:bdr w:val="single" w:sz="24" w:space="9" w:color="B33A3A"/>
          <w:shd w:fill="FBEAEA" w:val="clear"/>
        </w:rPr>
        <w:t>Explicitly deferred:</w:t>
      </w:r>
      <w:r>
        <w:rPr>
          <w:sz w:val="21"/>
          <w:bdr w:val="single" w:sz="24" w:space="9" w:color="B33A3A"/>
          <w:shd w:fill="FBEAEA" w:val="clear"/>
        </w:rPr>
        <w:t xml:space="preserve"> purchase requisitions/orders, supplier quotations, evaluation and performance scoring are Phase 2 features.</w:t>
      </w:r>
    </w:p>
    <w:p>
      <w:pPr>
        <w:pStyle w:val="Heading3"/>
        <w:bidi w:val="0"/>
        <w:jc w:val="left"/>
        <w:rPr/>
      </w:pPr>
      <w:r>
        <w:rPr/>
        <w:t>4.8 Product Records</w:t>
      </w:r>
    </w:p>
    <w:tbl>
      <w:tblPr>
        <w:tblW w:w="10291" w:type="dxa"/>
        <w:jc w:val="left"/>
        <w:tblInd w:w="28" w:type="dxa"/>
        <w:tblLayout w:type="fixed"/>
        <w:tblCellMar>
          <w:top w:w="28" w:type="dxa"/>
          <w:left w:w="28" w:type="dxa"/>
          <w:bottom w:w="28" w:type="dxa"/>
          <w:right w:w="28" w:type="dxa"/>
        </w:tblCellMar>
      </w:tblPr>
      <w:tblGrid>
        <w:gridCol w:w="1225"/>
        <w:gridCol w:w="8181"/>
        <w:gridCol w:w="885"/>
      </w:tblGrid>
      <w:tr>
        <w:trPr/>
        <w:tc>
          <w:tcPr>
            <w:tcW w:w="1225" w:type="dxa"/>
            <w:tcBorders/>
            <w:vAlign w:val="center"/>
          </w:tcPr>
          <w:p>
            <w:pPr>
              <w:pStyle w:val="TableHeading"/>
              <w:suppressLineNumbers/>
              <w:shd w:fill="1F3864" w:val="clear"/>
              <w:bidi w:val="0"/>
              <w:spacing w:before="0" w:after="283"/>
              <w:jc w:val="left"/>
              <w:rPr/>
            </w:pPr>
            <w:r>
              <w:rPr/>
              <w:t>ID</w:t>
            </w:r>
          </w:p>
        </w:tc>
        <w:tc>
          <w:tcPr>
            <w:tcW w:w="8181" w:type="dxa"/>
            <w:tcBorders/>
            <w:vAlign w:val="center"/>
          </w:tcPr>
          <w:p>
            <w:pPr>
              <w:pStyle w:val="TableHeading"/>
              <w:suppressLineNumbers/>
              <w:shd w:fill="1F3864" w:val="clear"/>
              <w:bidi w:val="0"/>
              <w:spacing w:before="0" w:after="283"/>
              <w:jc w:val="left"/>
              <w:rPr/>
            </w:pPr>
            <w:r>
              <w:rPr/>
              <w:t>Requirement</w:t>
            </w:r>
          </w:p>
        </w:tc>
        <w:tc>
          <w:tcPr>
            <w:tcW w:w="885" w:type="dxa"/>
            <w:tcBorders/>
            <w:vAlign w:val="center"/>
          </w:tcPr>
          <w:p>
            <w:pPr>
              <w:pStyle w:val="TableHeading"/>
              <w:suppressLineNumbers/>
              <w:shd w:fill="1F3864" w:val="clear"/>
              <w:bidi w:val="0"/>
              <w:spacing w:before="0" w:after="283"/>
              <w:jc w:val="left"/>
              <w:rPr/>
            </w:pPr>
            <w:r>
              <w:rPr/>
              <w:t>Priority</w:t>
            </w:r>
          </w:p>
        </w:tc>
      </w:tr>
      <w:tr>
        <w:trPr/>
        <w:tc>
          <w:tcPr>
            <w:tcW w:w="1225" w:type="dxa"/>
            <w:tcBorders/>
            <w:vAlign w:val="center"/>
          </w:tcPr>
          <w:p>
            <w:pPr>
              <w:pStyle w:val="TableContents"/>
              <w:bidi w:val="0"/>
              <w:spacing w:before="0" w:after="283"/>
              <w:jc w:val="left"/>
              <w:rPr/>
            </w:pPr>
            <w:r>
              <w:rPr/>
              <w:t>FR-PROD-01</w:t>
            </w:r>
          </w:p>
        </w:tc>
        <w:tc>
          <w:tcPr>
            <w:tcW w:w="8181" w:type="dxa"/>
            <w:tcBorders/>
            <w:vAlign w:val="center"/>
          </w:tcPr>
          <w:p>
            <w:pPr>
              <w:pStyle w:val="TableContents"/>
              <w:bidi w:val="0"/>
              <w:spacing w:before="0" w:after="283"/>
              <w:jc w:val="left"/>
              <w:rPr/>
            </w:pPr>
            <w:r>
              <w:rPr/>
              <w:t>The system shall allow registration of products/services with product code and category.</w:t>
            </w:r>
          </w:p>
        </w:tc>
        <w:tc>
          <w:tcPr>
            <w:tcW w:w="885" w:type="dxa"/>
            <w:tcBorders/>
            <w:vAlign w:val="center"/>
          </w:tcPr>
          <w:p>
            <w:pPr>
              <w:pStyle w:val="TableContents"/>
              <w:bidi w:val="0"/>
              <w:spacing w:before="0" w:after="283"/>
              <w:jc w:val="left"/>
              <w:rPr/>
            </w:pPr>
            <w:r>
              <w:rPr/>
              <w:t>Must</w:t>
            </w:r>
          </w:p>
        </w:tc>
      </w:tr>
      <w:tr>
        <w:trPr/>
        <w:tc>
          <w:tcPr>
            <w:tcW w:w="1225" w:type="dxa"/>
            <w:tcBorders/>
            <w:vAlign w:val="center"/>
          </w:tcPr>
          <w:p>
            <w:pPr>
              <w:pStyle w:val="TableContents"/>
              <w:bidi w:val="0"/>
              <w:spacing w:before="0" w:after="283"/>
              <w:jc w:val="left"/>
              <w:rPr/>
            </w:pPr>
            <w:r>
              <w:rPr/>
              <w:t>FR-PROD-02</w:t>
            </w:r>
          </w:p>
        </w:tc>
        <w:tc>
          <w:tcPr>
            <w:tcW w:w="8181" w:type="dxa"/>
            <w:tcBorders/>
            <w:vAlign w:val="center"/>
          </w:tcPr>
          <w:p>
            <w:pPr>
              <w:pStyle w:val="TableContents"/>
              <w:bidi w:val="0"/>
              <w:spacing w:before="0" w:after="283"/>
              <w:jc w:val="left"/>
              <w:rPr/>
            </w:pPr>
            <w:r>
              <w:rPr/>
              <w:t>The system shall support barcode association for products.</w:t>
            </w:r>
          </w:p>
        </w:tc>
        <w:tc>
          <w:tcPr>
            <w:tcW w:w="885" w:type="dxa"/>
            <w:tcBorders/>
            <w:vAlign w:val="center"/>
          </w:tcPr>
          <w:p>
            <w:pPr>
              <w:pStyle w:val="TableContents"/>
              <w:bidi w:val="0"/>
              <w:spacing w:before="0" w:after="283"/>
              <w:jc w:val="left"/>
              <w:rPr/>
            </w:pPr>
            <w:r>
              <w:rPr/>
              <w:t>Could</w:t>
            </w:r>
          </w:p>
        </w:tc>
      </w:tr>
      <w:tr>
        <w:trPr/>
        <w:tc>
          <w:tcPr>
            <w:tcW w:w="1225" w:type="dxa"/>
            <w:tcBorders/>
            <w:vAlign w:val="center"/>
          </w:tcPr>
          <w:p>
            <w:pPr>
              <w:pStyle w:val="TableContents"/>
              <w:bidi w:val="0"/>
              <w:spacing w:before="0" w:after="283"/>
              <w:jc w:val="left"/>
              <w:rPr/>
            </w:pPr>
            <w:r>
              <w:rPr/>
              <w:t>FR-PROD-03</w:t>
            </w:r>
          </w:p>
        </w:tc>
        <w:tc>
          <w:tcPr>
            <w:tcW w:w="8181" w:type="dxa"/>
            <w:tcBorders/>
            <w:vAlign w:val="center"/>
          </w:tcPr>
          <w:p>
            <w:pPr>
              <w:pStyle w:val="TableContents"/>
              <w:bidi w:val="0"/>
              <w:spacing w:before="0" w:after="283"/>
              <w:jc w:val="left"/>
              <w:rPr/>
            </w:pPr>
            <w:r>
              <w:rPr/>
              <w:t>The system shall allow configuration of units of measurement per product.</w:t>
            </w:r>
          </w:p>
        </w:tc>
        <w:tc>
          <w:tcPr>
            <w:tcW w:w="885" w:type="dxa"/>
            <w:tcBorders/>
            <w:vAlign w:val="center"/>
          </w:tcPr>
          <w:p>
            <w:pPr>
              <w:pStyle w:val="TableContents"/>
              <w:bidi w:val="0"/>
              <w:spacing w:before="0" w:after="283"/>
              <w:jc w:val="left"/>
              <w:rPr/>
            </w:pPr>
            <w:r>
              <w:rPr/>
              <w:t>Should</w:t>
            </w:r>
          </w:p>
        </w:tc>
      </w:tr>
    </w:tbl>
    <w:p>
      <w:pPr>
        <w:pStyle w:val="BodyText"/>
        <w:bidi w:val="0"/>
        <w:spacing w:before="150" w:after="150"/>
        <w:ind w:hanging="0" w:left="150" w:right="150"/>
        <w:jc w:val="left"/>
        <w:rPr>
          <w:sz w:val="21"/>
          <w:bdr w:val="single" w:sz="24" w:space="9" w:color="B33A3A"/>
          <w:shd w:fill="FBEAEA" w:val="clear"/>
        </w:rPr>
      </w:pPr>
      <w:r>
        <w:rPr>
          <w:b/>
          <w:sz w:val="21"/>
          <w:bdr w:val="single" w:sz="24" w:space="9" w:color="B33A3A"/>
          <w:shd w:fill="FBEAEA" w:val="clear"/>
        </w:rPr>
        <w:t>Explicitly deferred:</w:t>
      </w:r>
      <w:r>
        <w:rPr>
          <w:sz w:val="21"/>
          <w:bdr w:val="single" w:sz="24" w:space="9" w:color="B33A3A"/>
          <w:shd w:fill="FBEAEA" w:val="clear"/>
        </w:rPr>
        <w:t xml:space="preserve"> stock locations, warehouses, stock movements and inventory valuation are Phase 2 features.</w:t>
      </w:r>
    </w:p>
    <w:p>
      <w:pPr>
        <w:pStyle w:val="Heading3"/>
        <w:bidi w:val="0"/>
        <w:jc w:val="left"/>
        <w:rPr/>
      </w:pPr>
      <w:r>
        <w:rPr/>
        <w:t>4.9 Basic Accounting</w:t>
      </w:r>
    </w:p>
    <w:tbl>
      <w:tblPr>
        <w:tblW w:w="10851" w:type="dxa"/>
        <w:jc w:val="left"/>
        <w:tblInd w:w="28" w:type="dxa"/>
        <w:tblLayout w:type="fixed"/>
        <w:tblCellMar>
          <w:top w:w="28" w:type="dxa"/>
          <w:left w:w="28" w:type="dxa"/>
          <w:bottom w:w="28" w:type="dxa"/>
          <w:right w:w="28" w:type="dxa"/>
        </w:tblCellMar>
      </w:tblPr>
      <w:tblGrid>
        <w:gridCol w:w="1062"/>
        <w:gridCol w:w="8904"/>
        <w:gridCol w:w="885"/>
      </w:tblGrid>
      <w:tr>
        <w:trPr/>
        <w:tc>
          <w:tcPr>
            <w:tcW w:w="1062" w:type="dxa"/>
            <w:tcBorders/>
            <w:vAlign w:val="center"/>
          </w:tcPr>
          <w:p>
            <w:pPr>
              <w:pStyle w:val="TableHeading"/>
              <w:suppressLineNumbers/>
              <w:shd w:fill="1F3864" w:val="clear"/>
              <w:bidi w:val="0"/>
              <w:spacing w:before="0" w:after="283"/>
              <w:jc w:val="left"/>
              <w:rPr/>
            </w:pPr>
            <w:r>
              <w:rPr/>
              <w:t>ID</w:t>
            </w:r>
          </w:p>
        </w:tc>
        <w:tc>
          <w:tcPr>
            <w:tcW w:w="8904" w:type="dxa"/>
            <w:tcBorders/>
            <w:vAlign w:val="center"/>
          </w:tcPr>
          <w:p>
            <w:pPr>
              <w:pStyle w:val="TableHeading"/>
              <w:suppressLineNumbers/>
              <w:shd w:fill="1F3864" w:val="clear"/>
              <w:bidi w:val="0"/>
              <w:spacing w:before="0" w:after="283"/>
              <w:jc w:val="left"/>
              <w:rPr/>
            </w:pPr>
            <w:r>
              <w:rPr/>
              <w:t>Requirement</w:t>
            </w:r>
          </w:p>
        </w:tc>
        <w:tc>
          <w:tcPr>
            <w:tcW w:w="885" w:type="dxa"/>
            <w:tcBorders/>
            <w:vAlign w:val="center"/>
          </w:tcPr>
          <w:p>
            <w:pPr>
              <w:pStyle w:val="TableHeading"/>
              <w:suppressLineNumbers/>
              <w:shd w:fill="1F3864" w:val="clear"/>
              <w:bidi w:val="0"/>
              <w:spacing w:before="0" w:after="283"/>
              <w:jc w:val="left"/>
              <w:rPr/>
            </w:pPr>
            <w:r>
              <w:rPr/>
              <w:t>Priority</w:t>
            </w:r>
          </w:p>
        </w:tc>
      </w:tr>
      <w:tr>
        <w:trPr/>
        <w:tc>
          <w:tcPr>
            <w:tcW w:w="1062" w:type="dxa"/>
            <w:tcBorders/>
            <w:vAlign w:val="center"/>
          </w:tcPr>
          <w:p>
            <w:pPr>
              <w:pStyle w:val="TableContents"/>
              <w:bidi w:val="0"/>
              <w:spacing w:before="0" w:after="283"/>
              <w:jc w:val="left"/>
              <w:rPr/>
            </w:pPr>
            <w:r>
              <w:rPr/>
              <w:t>FR-ACC-01</w:t>
            </w:r>
          </w:p>
        </w:tc>
        <w:tc>
          <w:tcPr>
            <w:tcW w:w="8904" w:type="dxa"/>
            <w:tcBorders/>
            <w:vAlign w:val="center"/>
          </w:tcPr>
          <w:p>
            <w:pPr>
              <w:pStyle w:val="TableContents"/>
              <w:bidi w:val="0"/>
              <w:spacing w:before="0" w:after="283"/>
              <w:jc w:val="left"/>
              <w:rPr/>
            </w:pPr>
            <w:r>
              <w:rPr/>
              <w:t>The system shall allow definition and maintenance of a chart of accounts per company.</w:t>
            </w:r>
          </w:p>
        </w:tc>
        <w:tc>
          <w:tcPr>
            <w:tcW w:w="885" w:type="dxa"/>
            <w:tcBorders/>
            <w:vAlign w:val="center"/>
          </w:tcPr>
          <w:p>
            <w:pPr>
              <w:pStyle w:val="TableContents"/>
              <w:bidi w:val="0"/>
              <w:spacing w:before="0" w:after="283"/>
              <w:jc w:val="left"/>
              <w:rPr/>
            </w:pPr>
            <w:r>
              <w:rPr/>
              <w:t>Must</w:t>
            </w:r>
          </w:p>
        </w:tc>
      </w:tr>
      <w:tr>
        <w:trPr/>
        <w:tc>
          <w:tcPr>
            <w:tcW w:w="1062" w:type="dxa"/>
            <w:tcBorders/>
            <w:vAlign w:val="center"/>
          </w:tcPr>
          <w:p>
            <w:pPr>
              <w:pStyle w:val="TableContents"/>
              <w:bidi w:val="0"/>
              <w:spacing w:before="0" w:after="283"/>
              <w:jc w:val="left"/>
              <w:rPr/>
            </w:pPr>
            <w:r>
              <w:rPr/>
              <w:t>FR-ACC-02</w:t>
            </w:r>
          </w:p>
        </w:tc>
        <w:tc>
          <w:tcPr>
            <w:tcW w:w="8904" w:type="dxa"/>
            <w:tcBorders/>
            <w:vAlign w:val="center"/>
          </w:tcPr>
          <w:p>
            <w:pPr>
              <w:pStyle w:val="TableContents"/>
              <w:bidi w:val="0"/>
              <w:spacing w:before="0" w:after="283"/>
              <w:jc w:val="left"/>
              <w:rPr/>
            </w:pPr>
            <w:r>
              <w:rPr/>
              <w:t>The system shall allow creation of manual journal entries against the chart of accounts.</w:t>
            </w:r>
          </w:p>
        </w:tc>
        <w:tc>
          <w:tcPr>
            <w:tcW w:w="885" w:type="dxa"/>
            <w:tcBorders/>
            <w:vAlign w:val="center"/>
          </w:tcPr>
          <w:p>
            <w:pPr>
              <w:pStyle w:val="TableContents"/>
              <w:bidi w:val="0"/>
              <w:spacing w:before="0" w:after="283"/>
              <w:jc w:val="left"/>
              <w:rPr/>
            </w:pPr>
            <w:r>
              <w:rPr/>
              <w:t>Must</w:t>
            </w:r>
          </w:p>
        </w:tc>
      </w:tr>
      <w:tr>
        <w:trPr/>
        <w:tc>
          <w:tcPr>
            <w:tcW w:w="1062" w:type="dxa"/>
            <w:tcBorders/>
            <w:vAlign w:val="center"/>
          </w:tcPr>
          <w:p>
            <w:pPr>
              <w:pStyle w:val="TableContents"/>
              <w:bidi w:val="0"/>
              <w:spacing w:before="0" w:after="283"/>
              <w:jc w:val="left"/>
              <w:rPr/>
            </w:pPr>
            <w:r>
              <w:rPr/>
              <w:t>FR-ACC-03</w:t>
            </w:r>
          </w:p>
        </w:tc>
        <w:tc>
          <w:tcPr>
            <w:tcW w:w="8904" w:type="dxa"/>
            <w:tcBorders/>
            <w:vAlign w:val="center"/>
          </w:tcPr>
          <w:p>
            <w:pPr>
              <w:pStyle w:val="TableContents"/>
              <w:bidi w:val="0"/>
              <w:spacing w:before="0" w:after="283"/>
              <w:jc w:val="left"/>
              <w:rPr/>
            </w:pPr>
            <w:r>
              <w:rPr/>
              <w:t>The system shall maintain a general ledger reflecting all posted journal entries.</w:t>
            </w:r>
          </w:p>
        </w:tc>
        <w:tc>
          <w:tcPr>
            <w:tcW w:w="885" w:type="dxa"/>
            <w:tcBorders/>
            <w:vAlign w:val="center"/>
          </w:tcPr>
          <w:p>
            <w:pPr>
              <w:pStyle w:val="TableContents"/>
              <w:bidi w:val="0"/>
              <w:spacing w:before="0" w:after="283"/>
              <w:jc w:val="left"/>
              <w:rPr/>
            </w:pPr>
            <w:r>
              <w:rPr/>
              <w:t>Must</w:t>
            </w:r>
          </w:p>
        </w:tc>
      </w:tr>
      <w:tr>
        <w:trPr/>
        <w:tc>
          <w:tcPr>
            <w:tcW w:w="1062" w:type="dxa"/>
            <w:tcBorders/>
            <w:vAlign w:val="center"/>
          </w:tcPr>
          <w:p>
            <w:pPr>
              <w:pStyle w:val="TableContents"/>
              <w:bidi w:val="0"/>
              <w:spacing w:before="0" w:after="283"/>
              <w:jc w:val="left"/>
              <w:rPr/>
            </w:pPr>
            <w:r>
              <w:rPr/>
              <w:t>FR-ACC-04</w:t>
            </w:r>
          </w:p>
        </w:tc>
        <w:tc>
          <w:tcPr>
            <w:tcW w:w="8904" w:type="dxa"/>
            <w:tcBorders/>
            <w:vAlign w:val="center"/>
          </w:tcPr>
          <w:p>
            <w:pPr>
              <w:pStyle w:val="TableContents"/>
              <w:bidi w:val="0"/>
              <w:spacing w:before="0" w:after="283"/>
              <w:jc w:val="left"/>
              <w:rPr/>
            </w:pPr>
            <w:r>
              <w:rPr/>
              <w:t>The system shall generate a trial balance for a selected company and financial period.</w:t>
            </w:r>
          </w:p>
        </w:tc>
        <w:tc>
          <w:tcPr>
            <w:tcW w:w="885" w:type="dxa"/>
            <w:tcBorders/>
            <w:vAlign w:val="center"/>
          </w:tcPr>
          <w:p>
            <w:pPr>
              <w:pStyle w:val="TableContents"/>
              <w:bidi w:val="0"/>
              <w:spacing w:before="0" w:after="283"/>
              <w:jc w:val="left"/>
              <w:rPr/>
            </w:pPr>
            <w:r>
              <w:rPr/>
              <w:t>Must</w:t>
            </w:r>
          </w:p>
        </w:tc>
      </w:tr>
      <w:tr>
        <w:trPr/>
        <w:tc>
          <w:tcPr>
            <w:tcW w:w="1062" w:type="dxa"/>
            <w:tcBorders/>
            <w:vAlign w:val="center"/>
          </w:tcPr>
          <w:p>
            <w:pPr>
              <w:pStyle w:val="TableContents"/>
              <w:bidi w:val="0"/>
              <w:spacing w:before="0" w:after="283"/>
              <w:jc w:val="left"/>
              <w:rPr/>
            </w:pPr>
            <w:r>
              <w:rPr/>
              <w:t>FR-ACC-05</w:t>
            </w:r>
          </w:p>
        </w:tc>
        <w:tc>
          <w:tcPr>
            <w:tcW w:w="8904" w:type="dxa"/>
            <w:tcBorders/>
            <w:vAlign w:val="center"/>
          </w:tcPr>
          <w:p>
            <w:pPr>
              <w:pStyle w:val="TableContents"/>
              <w:bidi w:val="0"/>
              <w:spacing w:before="0" w:after="283"/>
              <w:jc w:val="left"/>
              <w:rPr/>
            </w:pPr>
            <w:r>
              <w:rPr/>
              <w:t>The system shall support definition of financial periods and support opening/closing of a period.</w:t>
            </w:r>
          </w:p>
        </w:tc>
        <w:tc>
          <w:tcPr>
            <w:tcW w:w="885" w:type="dxa"/>
            <w:tcBorders/>
            <w:vAlign w:val="center"/>
          </w:tcPr>
          <w:p>
            <w:pPr>
              <w:pStyle w:val="TableContents"/>
              <w:bidi w:val="0"/>
              <w:spacing w:before="0" w:after="283"/>
              <w:jc w:val="left"/>
              <w:rPr/>
            </w:pPr>
            <w:r>
              <w:rPr/>
              <w:t>Should</w:t>
            </w:r>
          </w:p>
        </w:tc>
      </w:tr>
      <w:tr>
        <w:trPr/>
        <w:tc>
          <w:tcPr>
            <w:tcW w:w="1062" w:type="dxa"/>
            <w:tcBorders/>
            <w:vAlign w:val="center"/>
          </w:tcPr>
          <w:p>
            <w:pPr>
              <w:pStyle w:val="TableContents"/>
              <w:bidi w:val="0"/>
              <w:spacing w:before="0" w:after="283"/>
              <w:jc w:val="left"/>
              <w:rPr/>
            </w:pPr>
            <w:r>
              <w:rPr/>
              <w:t>FR-ACC-06</w:t>
            </w:r>
          </w:p>
        </w:tc>
        <w:tc>
          <w:tcPr>
            <w:tcW w:w="8904" w:type="dxa"/>
            <w:tcBorders/>
            <w:vAlign w:val="center"/>
          </w:tcPr>
          <w:p>
            <w:pPr>
              <w:pStyle w:val="TableContents"/>
              <w:bidi w:val="0"/>
              <w:spacing w:before="0" w:after="283"/>
              <w:jc w:val="left"/>
              <w:rPr/>
            </w:pPr>
            <w:r>
              <w:rPr/>
              <w:t>The system shall support recording of opening balances during initial data migration.</w:t>
            </w:r>
          </w:p>
        </w:tc>
        <w:tc>
          <w:tcPr>
            <w:tcW w:w="885" w:type="dxa"/>
            <w:tcBorders/>
            <w:vAlign w:val="center"/>
          </w:tcPr>
          <w:p>
            <w:pPr>
              <w:pStyle w:val="TableContents"/>
              <w:bidi w:val="0"/>
              <w:spacing w:before="0" w:after="283"/>
              <w:jc w:val="left"/>
              <w:rPr/>
            </w:pPr>
            <w:r>
              <w:rPr/>
              <w:t>Must</w:t>
            </w:r>
          </w:p>
        </w:tc>
      </w:tr>
      <w:tr>
        <w:trPr/>
        <w:tc>
          <w:tcPr>
            <w:tcW w:w="1062" w:type="dxa"/>
            <w:tcBorders/>
            <w:vAlign w:val="center"/>
          </w:tcPr>
          <w:p>
            <w:pPr>
              <w:pStyle w:val="TableContents"/>
              <w:bidi w:val="0"/>
              <w:spacing w:before="0" w:after="283"/>
              <w:jc w:val="left"/>
              <w:rPr/>
            </w:pPr>
            <w:r>
              <w:rPr/>
              <w:t>FR-ACC-07</w:t>
            </w:r>
          </w:p>
        </w:tc>
        <w:tc>
          <w:tcPr>
            <w:tcW w:w="8904" w:type="dxa"/>
            <w:tcBorders/>
            <w:vAlign w:val="center"/>
          </w:tcPr>
          <w:p>
            <w:pPr>
              <w:pStyle w:val="TableContents"/>
              <w:bidi w:val="0"/>
              <w:spacing w:before="0" w:after="283"/>
              <w:jc w:val="left"/>
              <w:rPr/>
            </w:pPr>
            <w:r>
              <w:rPr/>
              <w:t>The system shall support recurring and adjusting journal entries.</w:t>
            </w:r>
          </w:p>
        </w:tc>
        <w:tc>
          <w:tcPr>
            <w:tcW w:w="885" w:type="dxa"/>
            <w:tcBorders/>
            <w:vAlign w:val="center"/>
          </w:tcPr>
          <w:p>
            <w:pPr>
              <w:pStyle w:val="TableContents"/>
              <w:bidi w:val="0"/>
              <w:spacing w:before="0" w:after="283"/>
              <w:jc w:val="left"/>
              <w:rPr/>
            </w:pPr>
            <w:r>
              <w:rPr/>
              <w:t>Could</w:t>
            </w:r>
          </w:p>
        </w:tc>
      </w:tr>
      <w:tr>
        <w:trPr/>
        <w:tc>
          <w:tcPr>
            <w:tcW w:w="1062" w:type="dxa"/>
            <w:tcBorders/>
            <w:vAlign w:val="center"/>
          </w:tcPr>
          <w:p>
            <w:pPr>
              <w:pStyle w:val="TableContents"/>
              <w:bidi w:val="0"/>
              <w:spacing w:before="0" w:after="283"/>
              <w:jc w:val="left"/>
              <w:rPr/>
            </w:pPr>
            <w:r>
              <w:rPr/>
              <w:t>FR-ACC-08</w:t>
            </w:r>
          </w:p>
        </w:tc>
        <w:tc>
          <w:tcPr>
            <w:tcW w:w="8904" w:type="dxa"/>
            <w:tcBorders/>
            <w:vAlign w:val="center"/>
          </w:tcPr>
          <w:p>
            <w:pPr>
              <w:pStyle w:val="TableContents"/>
              <w:bidi w:val="0"/>
              <w:spacing w:before="0" w:after="283"/>
              <w:jc w:val="left"/>
              <w:rPr/>
            </w:pPr>
            <w:r>
              <w:rPr/>
              <w:t>The system shall generate an income statement (profit and loss) for a selected company and financial period, showing revenue and expense accounts and net income.</w:t>
            </w:r>
          </w:p>
        </w:tc>
        <w:tc>
          <w:tcPr>
            <w:tcW w:w="885" w:type="dxa"/>
            <w:tcBorders/>
            <w:vAlign w:val="center"/>
          </w:tcPr>
          <w:p>
            <w:pPr>
              <w:pStyle w:val="TableContents"/>
              <w:bidi w:val="0"/>
              <w:spacing w:before="0" w:after="283"/>
              <w:jc w:val="left"/>
              <w:rPr/>
            </w:pPr>
            <w:r>
              <w:rPr/>
              <w:t>Should</w:t>
            </w:r>
          </w:p>
        </w:tc>
      </w:tr>
      <w:tr>
        <w:trPr/>
        <w:tc>
          <w:tcPr>
            <w:tcW w:w="1062" w:type="dxa"/>
            <w:tcBorders/>
            <w:vAlign w:val="center"/>
          </w:tcPr>
          <w:p>
            <w:pPr>
              <w:pStyle w:val="TableContents"/>
              <w:bidi w:val="0"/>
              <w:spacing w:before="0" w:after="283"/>
              <w:jc w:val="left"/>
              <w:rPr/>
            </w:pPr>
            <w:r>
              <w:rPr/>
              <w:t>FR-ACC-09</w:t>
            </w:r>
          </w:p>
        </w:tc>
        <w:tc>
          <w:tcPr>
            <w:tcW w:w="8904" w:type="dxa"/>
            <w:tcBorders/>
            <w:vAlign w:val="center"/>
          </w:tcPr>
          <w:p>
            <w:pPr>
              <w:pStyle w:val="TableContents"/>
              <w:bidi w:val="0"/>
              <w:spacing w:before="0" w:after="283"/>
              <w:jc w:val="left"/>
              <w:rPr/>
            </w:pPr>
            <w:r>
              <w:rPr/>
              <w:t>The system shall generate a balance sheet as of a selected date, showing asset, liability and equity account balances, and shall support a consolidated view summed across a holding company and its subsidiaries.</w:t>
            </w:r>
          </w:p>
        </w:tc>
        <w:tc>
          <w:tcPr>
            <w:tcW w:w="885" w:type="dxa"/>
            <w:tcBorders/>
            <w:vAlign w:val="center"/>
          </w:tcPr>
          <w:p>
            <w:pPr>
              <w:pStyle w:val="TableContents"/>
              <w:bidi w:val="0"/>
              <w:spacing w:before="0" w:after="283"/>
              <w:jc w:val="left"/>
              <w:rPr/>
            </w:pPr>
            <w:r>
              <w:rPr/>
              <w:t>Should</w:t>
            </w:r>
          </w:p>
        </w:tc>
      </w:tr>
    </w:tbl>
    <w:p>
      <w:pPr>
        <w:pStyle w:val="BodyText"/>
        <w:bidi w:val="0"/>
        <w:spacing w:before="150" w:after="150"/>
        <w:ind w:hanging="0" w:left="150" w:right="150"/>
        <w:jc w:val="left"/>
        <w:rPr>
          <w:sz w:val="21"/>
          <w:bdr w:val="single" w:sz="24" w:space="9" w:color="B33A3A"/>
          <w:shd w:fill="FBEAEA" w:val="clear"/>
        </w:rPr>
      </w:pPr>
      <w:r>
        <w:rPr>
          <w:b/>
          <w:sz w:val="21"/>
          <w:bdr w:val="single" w:sz="24" w:space="9" w:color="B33A3A"/>
          <w:shd w:fill="FBEAEA" w:val="clear"/>
        </w:rPr>
        <w:t>Explicitly deferred:</w:t>
      </w:r>
      <w:r>
        <w:rPr>
          <w:sz w:val="21"/>
          <w:bdr w:val="single" w:sz="24" w:space="9" w:color="B33A3A"/>
          <w:shd w:fill="FBEAEA" w:val="clear"/>
        </w:rPr>
        <w:t xml:space="preserve"> accounts receivable/payable tied to sales and procurement transactions, full financial statements, budgeting, banking, and inter-company consolidation are Phase 2–3 features. A basic trial balance is the Phase 1 accounting deliverable.</w:t>
      </w:r>
    </w:p>
    <w:p>
      <w:pPr>
        <w:pStyle w:val="BodyText"/>
      </w:pPr>
      <w:r>
        <w:t>Sprint 10 update (18 August 2026): FR-ACC-07 (recurring/adjusting journal entries, flagged "Could priority, not started" since this section was first written) is now implemented. FR-ACC-08 and FR-ACC-09 (financial statements) were added this sprint — 04_Software Requirements Specification, Section 12 lists financial statements and consolidated accounting under Phase 3, not this Phase 1 section; both are built here as a deliberate Phase 3 pull-forward, the same judgment call Section 4.12 made pulling Expense Management forward from Phase 2. See mbms/README.md, "Sprint 10", for the full detail.</w:t>
      </w:r>
    </w:p>
    <w:p>
      <w:pPr>
        <w:pStyle w:val="Heading3"/>
        <w:bidi w:val="0"/>
        <w:jc w:val="left"/>
        <w:rPr/>
      </w:pPr>
      <w:r>
        <w:rPr/>
        <w:t>4.10 System Audit Trail</w:t>
      </w:r>
    </w:p>
    <w:tbl>
      <w:tblPr>
        <w:tblW w:w="11339" w:type="dxa"/>
        <w:jc w:val="left"/>
        <w:tblInd w:w="28" w:type="dxa"/>
        <w:tblLayout w:type="fixed"/>
        <w:tblCellMar>
          <w:top w:w="28" w:type="dxa"/>
          <w:left w:w="28" w:type="dxa"/>
          <w:bottom w:w="28" w:type="dxa"/>
          <w:right w:w="28" w:type="dxa"/>
        </w:tblCellMar>
      </w:tblPr>
      <w:tblGrid>
        <w:gridCol w:w="1182"/>
        <w:gridCol w:w="9271"/>
        <w:gridCol w:w="886"/>
      </w:tblGrid>
      <w:tr>
        <w:trPr/>
        <w:tc>
          <w:tcPr>
            <w:tcW w:w="1182" w:type="dxa"/>
            <w:tcBorders/>
            <w:vAlign w:val="center"/>
          </w:tcPr>
          <w:p>
            <w:pPr>
              <w:pStyle w:val="TableHeading"/>
              <w:suppressLineNumbers/>
              <w:shd w:fill="1F3864" w:val="clear"/>
              <w:bidi w:val="0"/>
              <w:spacing w:before="0" w:after="283"/>
              <w:jc w:val="left"/>
              <w:rPr/>
            </w:pPr>
            <w:r>
              <w:rPr/>
              <w:t>ID</w:t>
            </w:r>
          </w:p>
        </w:tc>
        <w:tc>
          <w:tcPr>
            <w:tcW w:w="9271" w:type="dxa"/>
            <w:tcBorders/>
            <w:vAlign w:val="center"/>
          </w:tcPr>
          <w:p>
            <w:pPr>
              <w:pStyle w:val="TableHeading"/>
              <w:suppressLineNumbers/>
              <w:shd w:fill="1F3864" w:val="clear"/>
              <w:bidi w:val="0"/>
              <w:spacing w:before="0" w:after="283"/>
              <w:jc w:val="left"/>
              <w:rPr/>
            </w:pPr>
            <w:r>
              <w:rPr/>
              <w:t>Requirement</w:t>
            </w:r>
          </w:p>
        </w:tc>
        <w:tc>
          <w:tcPr>
            <w:tcW w:w="886" w:type="dxa"/>
            <w:tcBorders/>
            <w:vAlign w:val="center"/>
          </w:tcPr>
          <w:p>
            <w:pPr>
              <w:pStyle w:val="TableHeading"/>
              <w:suppressLineNumbers/>
              <w:shd w:fill="1F3864" w:val="clear"/>
              <w:bidi w:val="0"/>
              <w:spacing w:before="0" w:after="283"/>
              <w:jc w:val="left"/>
              <w:rPr/>
            </w:pPr>
            <w:r>
              <w:rPr/>
              <w:t>Priority</w:t>
            </w:r>
          </w:p>
        </w:tc>
      </w:tr>
      <w:tr>
        <w:trPr/>
        <w:tc>
          <w:tcPr>
            <w:tcW w:w="1182" w:type="dxa"/>
            <w:tcBorders/>
            <w:vAlign w:val="center"/>
          </w:tcPr>
          <w:p>
            <w:pPr>
              <w:pStyle w:val="TableContents"/>
              <w:bidi w:val="0"/>
              <w:spacing w:before="0" w:after="283"/>
              <w:jc w:val="left"/>
              <w:rPr/>
            </w:pPr>
            <w:r>
              <w:rPr/>
              <w:t>FR-AUDIT-01</w:t>
            </w:r>
          </w:p>
        </w:tc>
        <w:tc>
          <w:tcPr>
            <w:tcW w:w="9271" w:type="dxa"/>
            <w:tcBorders/>
            <w:vAlign w:val="center"/>
          </w:tcPr>
          <w:p>
            <w:pPr>
              <w:pStyle w:val="TableContents"/>
              <w:bidi w:val="0"/>
              <w:spacing w:before="0" w:after="283"/>
              <w:jc w:val="left"/>
              <w:rPr/>
            </w:pPr>
            <w:r>
              <w:rPr/>
              <w:t>The system shall record, for every create, edit, approve and delete action: user, company, date, time, IP address, action performed, previous value and new value.</w:t>
            </w:r>
          </w:p>
        </w:tc>
        <w:tc>
          <w:tcPr>
            <w:tcW w:w="886" w:type="dxa"/>
            <w:tcBorders/>
            <w:vAlign w:val="center"/>
          </w:tcPr>
          <w:p>
            <w:pPr>
              <w:pStyle w:val="TableContents"/>
              <w:bidi w:val="0"/>
              <w:spacing w:before="0" w:after="283"/>
              <w:jc w:val="left"/>
              <w:rPr/>
            </w:pPr>
            <w:r>
              <w:rPr/>
              <w:t>Must</w:t>
            </w:r>
          </w:p>
        </w:tc>
      </w:tr>
      <w:tr>
        <w:trPr/>
        <w:tc>
          <w:tcPr>
            <w:tcW w:w="1182" w:type="dxa"/>
            <w:tcBorders/>
            <w:vAlign w:val="center"/>
          </w:tcPr>
          <w:p>
            <w:pPr>
              <w:pStyle w:val="TableContents"/>
              <w:bidi w:val="0"/>
              <w:spacing w:before="0" w:after="283"/>
              <w:jc w:val="left"/>
              <w:rPr/>
            </w:pPr>
            <w:r>
              <w:rPr/>
              <w:t>FR-AUDIT-02</w:t>
            </w:r>
          </w:p>
        </w:tc>
        <w:tc>
          <w:tcPr>
            <w:tcW w:w="9271" w:type="dxa"/>
            <w:tcBorders/>
            <w:vAlign w:val="center"/>
          </w:tcPr>
          <w:p>
            <w:pPr>
              <w:pStyle w:val="TableContents"/>
              <w:bidi w:val="0"/>
              <w:spacing w:before="0" w:after="283"/>
              <w:jc w:val="left"/>
              <w:rPr/>
            </w:pPr>
            <w:r>
              <w:rPr/>
              <w:t>The system shall make the audit trail viewable (read-only) to Auditor and Administrator roles, filterable by user, date, company and action type.</w:t>
            </w:r>
          </w:p>
        </w:tc>
        <w:tc>
          <w:tcPr>
            <w:tcW w:w="886" w:type="dxa"/>
            <w:tcBorders/>
            <w:vAlign w:val="center"/>
          </w:tcPr>
          <w:p>
            <w:pPr>
              <w:pStyle w:val="TableContents"/>
              <w:bidi w:val="0"/>
              <w:spacing w:before="0" w:after="283"/>
              <w:jc w:val="left"/>
              <w:rPr/>
            </w:pPr>
            <w:r>
              <w:rPr/>
              <w:t>Must</w:t>
            </w:r>
          </w:p>
        </w:tc>
      </w:tr>
      <w:tr>
        <w:trPr/>
        <w:tc>
          <w:tcPr>
            <w:tcW w:w="1182" w:type="dxa"/>
            <w:tcBorders/>
            <w:vAlign w:val="center"/>
          </w:tcPr>
          <w:p>
            <w:pPr>
              <w:pStyle w:val="TableContents"/>
              <w:bidi w:val="0"/>
              <w:spacing w:before="0" w:after="283"/>
              <w:jc w:val="left"/>
              <w:rPr/>
            </w:pPr>
            <w:r>
              <w:rPr/>
              <w:t>FR-AUDIT-03</w:t>
            </w:r>
          </w:p>
        </w:tc>
        <w:tc>
          <w:tcPr>
            <w:tcW w:w="9271" w:type="dxa"/>
            <w:tcBorders/>
            <w:vAlign w:val="center"/>
          </w:tcPr>
          <w:p>
            <w:pPr>
              <w:pStyle w:val="TableContents"/>
              <w:bidi w:val="0"/>
              <w:spacing w:before="0" w:after="283"/>
              <w:jc w:val="left"/>
              <w:rPr/>
            </w:pPr>
            <w:r>
              <w:rPr/>
              <w:t>The system shall prevent modification or deletion of audit log entries by any user role.</w:t>
            </w:r>
          </w:p>
        </w:tc>
        <w:tc>
          <w:tcPr>
            <w:tcW w:w="886" w:type="dxa"/>
            <w:tcBorders/>
            <w:vAlign w:val="center"/>
          </w:tcPr>
          <w:p>
            <w:pPr>
              <w:pStyle w:val="TableContents"/>
              <w:bidi w:val="0"/>
              <w:spacing w:before="0" w:after="283"/>
              <w:jc w:val="left"/>
              <w:rPr/>
            </w:pPr>
            <w:r>
              <w:rPr/>
              <w:t>Must</w:t>
            </w:r>
          </w:p>
        </w:tc>
      </w:tr>
    </w:tbl>
    <w:p>
      <w:pPr>
        <w:pStyle w:val="BodyText"/>
        <w:bidi w:val="0"/>
        <w:spacing w:before="150" w:after="150"/>
        <w:ind w:hanging="0" w:left="150" w:right="150"/>
        <w:jc w:val="left"/>
        <w:rPr>
          <w:sz w:val="21"/>
          <w:bdr w:val="single" w:sz="24" w:space="9" w:color="D98C00"/>
          <w:shd w:fill="FFF4E5" w:val="clear"/>
        </w:rPr>
      </w:pPr>
      <w:r>
        <w:rPr>
          <w:b/>
          <w:sz w:val="21"/>
          <w:bdr w:val="single" w:sz="24" w:space="9" w:color="D98C00"/>
          <w:shd w:fill="FFF4E5" w:val="clear"/>
        </w:rPr>
        <w:t>Architecture note:</w:t>
      </w:r>
      <w:r>
        <w:rPr>
          <w:sz w:val="21"/>
          <w:bdr w:val="single" w:sz="24" w:space="9" w:color="D98C00"/>
          <w:shd w:fill="FFF4E5" w:val="clear"/>
        </w:rPr>
        <w:t xml:space="preserve"> under 07_System Design Document (v2.0), FR-AUDIT-01 is satisfied by the Audit &amp; Reporting Service consuming domain events published by every other service over Kafka, rather than a single in-process interceptor. The requirement itself — what must be captured — is unchanged.</w:t>
      </w:r>
    </w:p>
    <w:p>
      <w:pPr>
        <w:pStyle w:val="Heading3"/>
        <w:bidi w:val="0"/>
        <w:jc w:val="left"/>
        <w:rPr/>
      </w:pPr>
      <w:r>
        <w:rPr/>
        <w:t>4.11 Data Entities in Scope</w:t>
      </w:r>
    </w:p>
    <w:p>
      <w:pPr>
        <w:pStyle w:val="BodyText"/>
        <w:bidi w:val="0"/>
        <w:jc w:val="left"/>
        <w:rPr/>
      </w:pPr>
      <w:r>
        <w:rPr/>
        <w:t>The following core data entities are required to support the Phase 1 functional requirements above. Under the microservices architecture, each entity group is owned by its corresponding service's own database (07_System Design Document, Section 3) rather than a single shared schema; full per-service schemas are defined in 08_Database Design Document.</w:t>
      </w:r>
    </w:p>
    <w:tbl>
      <w:tblPr>
        <w:tblW w:w="11339" w:type="dxa"/>
        <w:jc w:val="left"/>
        <w:tblInd w:w="28" w:type="dxa"/>
        <w:tblLayout w:type="fixed"/>
        <w:tblCellMar>
          <w:top w:w="28" w:type="dxa"/>
          <w:left w:w="28" w:type="dxa"/>
          <w:bottom w:w="28" w:type="dxa"/>
          <w:right w:w="28" w:type="dxa"/>
        </w:tblCellMar>
      </w:tblPr>
      <w:tblGrid>
        <w:gridCol w:w="1637"/>
        <w:gridCol w:w="5354"/>
        <w:gridCol w:w="4348"/>
      </w:tblGrid>
      <w:tr>
        <w:trPr/>
        <w:tc>
          <w:tcPr>
            <w:tcW w:w="1637" w:type="dxa"/>
            <w:tcBorders/>
            <w:vAlign w:val="center"/>
          </w:tcPr>
          <w:p>
            <w:pPr>
              <w:pStyle w:val="TableHeading"/>
              <w:suppressLineNumbers/>
              <w:shd w:fill="1F3864" w:val="clear"/>
              <w:bidi w:val="0"/>
              <w:spacing w:before="0" w:after="283"/>
              <w:jc w:val="left"/>
              <w:rPr/>
            </w:pPr>
            <w:r>
              <w:rPr/>
              <w:t>Entity Group</w:t>
            </w:r>
          </w:p>
        </w:tc>
        <w:tc>
          <w:tcPr>
            <w:tcW w:w="5354" w:type="dxa"/>
            <w:tcBorders/>
            <w:vAlign w:val="center"/>
          </w:tcPr>
          <w:p>
            <w:pPr>
              <w:pStyle w:val="TableHeading"/>
              <w:suppressLineNumbers/>
              <w:shd w:fill="1F3864" w:val="clear"/>
              <w:bidi w:val="0"/>
              <w:spacing w:before="0" w:after="283"/>
              <w:jc w:val="left"/>
              <w:rPr/>
            </w:pPr>
            <w:r>
              <w:rPr/>
              <w:t>Entities</w:t>
            </w:r>
          </w:p>
        </w:tc>
        <w:tc>
          <w:tcPr>
            <w:tcW w:w="4348" w:type="dxa"/>
            <w:tcBorders/>
            <w:vAlign w:val="center"/>
          </w:tcPr>
          <w:p>
            <w:pPr>
              <w:pStyle w:val="TableHeading"/>
              <w:suppressLineNumbers/>
              <w:shd w:fill="1F3864" w:val="clear"/>
              <w:bidi w:val="0"/>
              <w:spacing w:before="0" w:after="283"/>
              <w:jc w:val="left"/>
              <w:rPr/>
            </w:pPr>
            <w:r>
              <w:rPr/>
              <w:t>Owning Service</w:t>
            </w:r>
          </w:p>
        </w:tc>
      </w:tr>
      <w:tr>
        <w:trPr/>
        <w:tc>
          <w:tcPr>
            <w:tcW w:w="1637" w:type="dxa"/>
            <w:tcBorders/>
            <w:vAlign w:val="center"/>
          </w:tcPr>
          <w:p>
            <w:pPr>
              <w:pStyle w:val="TableContents"/>
              <w:bidi w:val="0"/>
              <w:spacing w:before="0" w:after="283"/>
              <w:jc w:val="left"/>
              <w:rPr/>
            </w:pPr>
            <w:r>
              <w:rPr/>
              <w:t>Identity &amp; Access</w:t>
            </w:r>
          </w:p>
        </w:tc>
        <w:tc>
          <w:tcPr>
            <w:tcW w:w="5354" w:type="dxa"/>
            <w:tcBorders/>
            <w:vAlign w:val="center"/>
          </w:tcPr>
          <w:p>
            <w:pPr>
              <w:pStyle w:val="TableContents"/>
              <w:bidi w:val="0"/>
              <w:spacing w:before="0" w:after="283"/>
              <w:jc w:val="left"/>
              <w:rPr/>
            </w:pPr>
            <w:r>
              <w:rPr/>
              <w:t>users, roles, permissions, role_permissions, user_roles</w:t>
            </w:r>
          </w:p>
        </w:tc>
        <w:tc>
          <w:tcPr>
            <w:tcW w:w="4348" w:type="dxa"/>
            <w:tcBorders/>
            <w:vAlign w:val="center"/>
          </w:tcPr>
          <w:p>
            <w:pPr>
              <w:pStyle w:val="TableContents"/>
              <w:bidi w:val="0"/>
              <w:spacing w:before="0" w:after="283"/>
              <w:jc w:val="left"/>
              <w:rPr/>
            </w:pPr>
            <w:r>
              <w:rPr/>
              <w:t>Identity Service</w:t>
            </w:r>
          </w:p>
        </w:tc>
      </w:tr>
      <w:tr>
        <w:trPr/>
        <w:tc>
          <w:tcPr>
            <w:tcW w:w="1637" w:type="dxa"/>
            <w:tcBorders/>
            <w:vAlign w:val="center"/>
          </w:tcPr>
          <w:p>
            <w:pPr>
              <w:pStyle w:val="TableContents"/>
              <w:bidi w:val="0"/>
              <w:spacing w:before="0" w:after="283"/>
              <w:jc w:val="left"/>
              <w:rPr/>
            </w:pPr>
            <w:r>
              <w:rPr/>
              <w:t>Organization</w:t>
            </w:r>
          </w:p>
        </w:tc>
        <w:tc>
          <w:tcPr>
            <w:tcW w:w="5354" w:type="dxa"/>
            <w:tcBorders/>
            <w:vAlign w:val="center"/>
          </w:tcPr>
          <w:p>
            <w:pPr>
              <w:pStyle w:val="TableContents"/>
              <w:bidi w:val="0"/>
              <w:spacing w:before="0" w:after="283"/>
              <w:jc w:val="left"/>
              <w:rPr/>
            </w:pPr>
            <w:r>
              <w:rPr/>
              <w:t>companies, branches, departments</w:t>
            </w:r>
          </w:p>
        </w:tc>
        <w:tc>
          <w:tcPr>
            <w:tcW w:w="4348" w:type="dxa"/>
            <w:tcBorders/>
            <w:vAlign w:val="center"/>
          </w:tcPr>
          <w:p>
            <w:pPr>
              <w:pStyle w:val="TableContents"/>
              <w:bidi w:val="0"/>
              <w:spacing w:before="0" w:after="283"/>
              <w:jc w:val="left"/>
              <w:rPr/>
            </w:pPr>
            <w:r>
              <w:rPr/>
              <w:t>Organization Service</w:t>
            </w:r>
          </w:p>
        </w:tc>
      </w:tr>
      <w:tr>
        <w:trPr/>
        <w:tc>
          <w:tcPr>
            <w:tcW w:w="1637" w:type="dxa"/>
            <w:tcBorders/>
            <w:vAlign w:val="center"/>
          </w:tcPr>
          <w:p>
            <w:pPr>
              <w:pStyle w:val="TableContents"/>
              <w:bidi w:val="0"/>
              <w:spacing w:before="0" w:after="283"/>
              <w:jc w:val="left"/>
              <w:rPr/>
            </w:pPr>
            <w:r>
              <w:rPr/>
              <w:t>Master Data</w:t>
            </w:r>
          </w:p>
        </w:tc>
        <w:tc>
          <w:tcPr>
            <w:tcW w:w="5354" w:type="dxa"/>
            <w:tcBorders/>
            <w:vAlign w:val="center"/>
          </w:tcPr>
          <w:p>
            <w:pPr>
              <w:pStyle w:val="TableContents"/>
              <w:bidi w:val="0"/>
              <w:spacing w:before="0" w:after="283"/>
              <w:jc w:val="left"/>
              <w:rPr/>
            </w:pPr>
            <w:r>
              <w:rPr/>
              <w:t>employees, customers, suppliers, products, product_categories</w:t>
            </w:r>
          </w:p>
        </w:tc>
        <w:tc>
          <w:tcPr>
            <w:tcW w:w="4348" w:type="dxa"/>
            <w:tcBorders/>
            <w:vAlign w:val="center"/>
          </w:tcPr>
          <w:p>
            <w:pPr>
              <w:pStyle w:val="TableContents"/>
              <w:bidi w:val="0"/>
              <w:spacing w:before="0" w:after="283"/>
              <w:jc w:val="left"/>
              <w:rPr/>
            </w:pPr>
            <w:r>
              <w:rPr/>
              <w:t>Employee / Customer / Supplier / Product Services</w:t>
            </w:r>
          </w:p>
        </w:tc>
      </w:tr>
      <w:tr>
        <w:trPr/>
        <w:tc>
          <w:tcPr>
            <w:tcW w:w="1637" w:type="dxa"/>
            <w:tcBorders/>
            <w:vAlign w:val="center"/>
          </w:tcPr>
          <w:p>
            <w:pPr>
              <w:pStyle w:val="TableContents"/>
              <w:bidi w:val="0"/>
              <w:spacing w:before="0" w:after="283"/>
              <w:jc w:val="left"/>
              <w:rPr/>
            </w:pPr>
            <w:r>
              <w:rPr/>
              <w:t>Accounting</w:t>
            </w:r>
          </w:p>
        </w:tc>
        <w:tc>
          <w:tcPr>
            <w:tcW w:w="5354" w:type="dxa"/>
            <w:tcBorders/>
            <w:vAlign w:val="center"/>
          </w:tcPr>
          <w:p>
            <w:pPr>
              <w:pStyle w:val="TableContents"/>
              <w:bidi w:val="0"/>
              <w:spacing w:before="0" w:after="283"/>
              <w:jc w:val="left"/>
              <w:rPr/>
            </w:pPr>
            <w:r>
              <w:rPr/>
              <w:t>accounts, journal_entries, journal_entry_items</w:t>
            </w:r>
          </w:p>
        </w:tc>
        <w:tc>
          <w:tcPr>
            <w:tcW w:w="4348" w:type="dxa"/>
            <w:tcBorders/>
            <w:vAlign w:val="center"/>
          </w:tcPr>
          <w:p>
            <w:pPr>
              <w:pStyle w:val="TableContents"/>
              <w:bidi w:val="0"/>
              <w:spacing w:before="0" w:after="283"/>
              <w:jc w:val="left"/>
              <w:rPr/>
            </w:pPr>
            <w:r>
              <w:rPr/>
              <w:t>Accounting Service</w:t>
            </w:r>
          </w:p>
        </w:tc>
      </w:tr>
      <w:tr>
        <w:trPr/>
        <w:tc>
          <w:tcPr>
            <w:tcW w:w="1637" w:type="dxa"/>
            <w:tcBorders/>
            <w:vAlign w:val="center"/>
          </w:tcPr>
          <w:p>
            <w:pPr>
              <w:pStyle w:val="TableContents"/>
              <w:bidi w:val="0"/>
              <w:spacing w:before="0" w:after="283"/>
              <w:jc w:val="left"/>
              <w:rPr/>
            </w:pPr>
            <w:r>
              <w:rPr/>
              <w:t>Governance</w:t>
            </w:r>
          </w:p>
        </w:tc>
        <w:tc>
          <w:tcPr>
            <w:tcW w:w="5354" w:type="dxa"/>
            <w:tcBorders/>
            <w:vAlign w:val="center"/>
          </w:tcPr>
          <w:p>
            <w:pPr>
              <w:pStyle w:val="TableContents"/>
              <w:bidi w:val="0"/>
              <w:spacing w:before="0" w:after="283"/>
              <w:jc w:val="left"/>
              <w:rPr/>
            </w:pPr>
            <w:r>
              <w:rPr/>
              <w:t>audit_logs, dashboard read-models</w:t>
            </w:r>
          </w:p>
        </w:tc>
        <w:tc>
          <w:tcPr>
            <w:tcW w:w="4348" w:type="dxa"/>
            <w:tcBorders/>
            <w:vAlign w:val="center"/>
          </w:tcPr>
          <w:p>
            <w:pPr>
              <w:pStyle w:val="TableContents"/>
              <w:bidi w:val="0"/>
              <w:spacing w:before="0" w:after="283"/>
              <w:jc w:val="left"/>
              <w:rPr/>
            </w:pPr>
            <w:r>
              <w:rPr/>
              <w:t>Audit &amp; Reporting Service</w:t>
            </w:r>
          </w:p>
        </w:tc>
      </w:tr>
    </w:tbl>
    <w:p>
      <w:pPr>
        <w:pStyle w:val="Heading3"/>
      </w:pPr>
      <w:r>
        <w:t>4.12 Expense Management (Phase 2 — Sprint 9)</w:t>
      </w:r>
    </w:p>
    <w:p>
      <w:pPr>
        <w:pStyle w:val="BodyText"/>
      </w:pPr>
      <w:r>
        <w:t>This section did not exist before Sprint 9 — Expense Management is explicitly Phase 2 scope per Section 12, out of this SRS’s original Phase 1 boundary (Section 2.2). It is documented here because Sprint 9 built it as the first Phase 2 module: by the time Sprint 9 was requested, every sprint in `17_Development Plan`, Section 6 (Sprints 0–8) was already either built or, for the two testing-only sprints, run — the first time a named request matched real, still-open next work instead of a mismatch against an already-complete Phase 1 sprint (contrast Sprints 6–8’s scope notes in `mbms/README.md`). Requirements below were authored during Sprint 9 itself, against the workflow `05_Business Process Document`, Section 6.4 and `morise.docx`, Section 22/48 already described, since no separate Phase 2 SRS pass has been run yet — a judgment call, not a substitute for the phase-specific SRS Section 12’s own text says each future phase requires when formally proposed.</w:t>
      </w:r>
    </w:p>
    <w:tbl>
      <w:tblPr>
        <w:tblW w:w="10851" w:type="dxa"/>
        <w:jc w:val="left"/>
        <w:tblInd w:w="28" w:type="dxa"/>
        <w:tblLayout w:type="fixed"/>
        <w:tblCellMar>
          <w:top w:w="28" w:type="dxa"/>
          <w:left w:w="28" w:type="dxa"/>
          <w:bottom w:w="28" w:type="dxa"/>
          <w:right w:w="28" w:type="dxa"/>
        </w:tblCellMar>
      </w:tblPr>
      <w:tblGrid>
        <w:gridCol w:w="1062"/>
        <w:gridCol w:w="8904"/>
        <w:gridCol w:w="885"/>
      </w:tblGrid>
      <w:tr>
        <w:trPr/>
        <w:tc>
          <w:tcPr>
            <w:tcW w:w="1062" w:type="dxa"/>
            <w:tcBorders/>
            <w:vAlign w:val="center"/>
          </w:tcPr>
          <w:p>
            <w:pPr>
              <w:pStyle w:val="TableHeading"/>
              <w:suppressLineNumbers/>
              <w:shd w:fill="1F3864" w:val="clear"/>
              <w:bidi w:val="0"/>
              <w:spacing w:before="0" w:after="283"/>
              <w:jc w:val="left"/>
              <w:rPr/>
            </w:pPr>
            <w:r>
              <w:rPr/>
              <w:t>ID</w:t>
            </w:r>
          </w:p>
        </w:tc>
        <w:tc>
          <w:tcPr>
            <w:tcW w:w="8904" w:type="dxa"/>
            <w:tcBorders/>
            <w:vAlign w:val="center"/>
          </w:tcPr>
          <w:p>
            <w:pPr>
              <w:pStyle w:val="TableHeading"/>
              <w:suppressLineNumbers/>
              <w:shd w:fill="1F3864" w:val="clear"/>
              <w:bidi w:val="0"/>
              <w:spacing w:before="0" w:after="283"/>
              <w:jc w:val="left"/>
              <w:rPr/>
            </w:pPr>
            <w:r>
              <w:rPr/>
              <w:t>Requirement</w:t>
            </w:r>
          </w:p>
        </w:tc>
        <w:tc>
          <w:tcPr>
            <w:tcW w:w="885" w:type="dxa"/>
            <w:tcBorders/>
            <w:vAlign w:val="center"/>
          </w:tcPr>
          <w:p>
            <w:pPr>
              <w:pStyle w:val="TableHeading"/>
              <w:suppressLineNumbers/>
              <w:shd w:fill="1F3864" w:val="clear"/>
              <w:bidi w:val="0"/>
              <w:spacing w:before="0" w:after="283"/>
              <w:jc w:val="left"/>
              <w:rPr/>
            </w:pPr>
            <w:r>
              <w:rPr/>
              <w:t>Priority</w:t>
            </w:r>
          </w:p>
        </w:tc>
      </w:tr>
      <w:tr>
        <w:trPr/>
        <w:tc>
          <w:tcPr>
            <w:tcW w:w="1062" w:type="dxa"/>
            <w:tcBorders/>
            <w:vAlign w:val="center"/>
          </w:tcPr>
          <w:p>
            <w:pPr>
              <w:pStyle w:val="TableContents"/>
              <w:bidi w:val="0"/>
              <w:spacing w:before="0" w:after="283"/>
              <w:jc w:val="left"/>
              <w:rPr/>
            </w:pPr>
            <w:r>
              <w:rPr/>
              <w:t>FR-EXP-01</w:t>
            </w:r>
          </w:p>
        </w:tc>
        <w:tc>
          <w:tcPr>
            <w:tcW w:w="8904" w:type="dxa"/>
            <w:tcBorders/>
            <w:vAlign w:val="center"/>
          </w:tcPr>
          <w:p>
            <w:pPr>
              <w:pStyle w:val="TableContents"/>
              <w:bidi w:val="0"/>
              <w:spacing w:before="0" w:after="283"/>
              <w:jc w:val="left"/>
              <w:rPr/>
            </w:pPr>
            <w:r>
              <w:rPr/>
              <w:t>The system shall allow any authenticated user with a company/branch scope to submit an expense claim for themselves, capturing category, description, amount, currency, expense date and an optional receipt reference.</w:t>
            </w:r>
          </w:p>
        </w:tc>
        <w:tc>
          <w:tcPr>
            <w:tcW w:w="885" w:type="dxa"/>
            <w:tcBorders/>
            <w:vAlign w:val="center"/>
          </w:tcPr>
          <w:p>
            <w:pPr>
              <w:pStyle w:val="TableContents"/>
              <w:bidi w:val="0"/>
              <w:spacing w:before="0" w:after="283"/>
              <w:jc w:val="left"/>
              <w:rPr/>
            </w:pPr>
            <w:r>
              <w:rPr/>
              <w:t>Must</w:t>
            </w:r>
          </w:p>
        </w:tc>
      </w:tr>
      <w:tr>
        <w:trPr/>
        <w:tc>
          <w:tcPr>
            <w:tcW w:w="1062" w:type="dxa"/>
            <w:tcBorders/>
            <w:vAlign w:val="center"/>
          </w:tcPr>
          <w:p>
            <w:pPr>
              <w:pStyle w:val="TableContents"/>
              <w:bidi w:val="0"/>
              <w:spacing w:before="0" w:after="283"/>
              <w:jc w:val="left"/>
              <w:rPr/>
            </w:pPr>
            <w:r>
              <w:rPr/>
              <w:t>FR-EXP-02</w:t>
            </w:r>
          </w:p>
        </w:tc>
        <w:tc>
          <w:tcPr>
            <w:tcW w:w="8904" w:type="dxa"/>
            <w:tcBorders/>
            <w:vAlign w:val="center"/>
          </w:tcPr>
          <w:p>
            <w:pPr>
              <w:pStyle w:val="TableContents"/>
              <w:bidi w:val="0"/>
              <w:spacing w:before="0" w:after="283"/>
              <w:jc w:val="left"/>
              <w:rPr/>
            </w:pPr>
            <w:r>
              <w:rPr/>
              <w:t>The system shall record a receipt reference for each claim; storage of the receipt image/file itself is deferred (same object-storage gap as company logos, employee/supplier documents).</w:t>
            </w:r>
          </w:p>
        </w:tc>
        <w:tc>
          <w:tcPr>
            <w:tcW w:w="885" w:type="dxa"/>
            <w:tcBorders/>
            <w:vAlign w:val="center"/>
          </w:tcPr>
          <w:p>
            <w:pPr>
              <w:pStyle w:val="TableContents"/>
              <w:bidi w:val="0"/>
              <w:spacing w:before="0" w:after="283"/>
              <w:jc w:val="left"/>
              <w:rPr/>
            </w:pPr>
            <w:r>
              <w:rPr/>
              <w:t>Should</w:t>
            </w:r>
          </w:p>
        </w:tc>
      </w:tr>
      <w:tr>
        <w:trPr/>
        <w:tc>
          <w:tcPr>
            <w:tcW w:w="1062" w:type="dxa"/>
            <w:tcBorders/>
            <w:vAlign w:val="center"/>
          </w:tcPr>
          <w:p>
            <w:pPr>
              <w:pStyle w:val="TableContents"/>
              <w:bidi w:val="0"/>
              <w:spacing w:before="0" w:after="283"/>
              <w:jc w:val="left"/>
              <w:rPr/>
            </w:pPr>
            <w:r>
              <w:rPr/>
              <w:t>FR-EXP-03</w:t>
            </w:r>
          </w:p>
        </w:tc>
        <w:tc>
          <w:tcPr>
            <w:tcW w:w="8904" w:type="dxa"/>
            <w:tcBorders/>
            <w:vAlign w:val="center"/>
          </w:tcPr>
          <w:p>
            <w:pPr>
              <w:pStyle w:val="TableContents"/>
              <w:bidi w:val="0"/>
              <w:spacing w:before="0" w:after="283"/>
              <w:jc w:val="left"/>
              <w:rPr/>
            </w:pPr>
            <w:r>
              <w:rPr/>
              <w:t>The system shall route each claim through a two-step approval workflow — manager approval, then finance approval — before payment, matching the workflow already defined in 05_Business Process Document, Section 6.4.</w:t>
            </w:r>
          </w:p>
        </w:tc>
        <w:tc>
          <w:tcPr>
            <w:tcW w:w="885" w:type="dxa"/>
            <w:tcBorders/>
            <w:vAlign w:val="center"/>
          </w:tcPr>
          <w:p>
            <w:pPr>
              <w:pStyle w:val="TableContents"/>
              <w:bidi w:val="0"/>
              <w:spacing w:before="0" w:after="283"/>
              <w:jc w:val="left"/>
              <w:rPr/>
            </w:pPr>
            <w:r>
              <w:rPr/>
              <w:t>Must</w:t>
            </w:r>
          </w:p>
        </w:tc>
      </w:tr>
      <w:tr>
        <w:trPr/>
        <w:tc>
          <w:tcPr>
            <w:tcW w:w="1062" w:type="dxa"/>
            <w:tcBorders/>
            <w:vAlign w:val="center"/>
          </w:tcPr>
          <w:p>
            <w:pPr>
              <w:pStyle w:val="TableContents"/>
              <w:bidi w:val="0"/>
              <w:spacing w:before="0" w:after="283"/>
              <w:jc w:val="left"/>
              <w:rPr/>
            </w:pPr>
            <w:r>
              <w:rPr/>
              <w:t>FR-EXP-04</w:t>
            </w:r>
          </w:p>
        </w:tc>
        <w:tc>
          <w:tcPr>
            <w:tcW w:w="8904" w:type="dxa"/>
            <w:tcBorders/>
            <w:vAlign w:val="center"/>
          </w:tcPr>
          <w:p>
            <w:pPr>
              <w:pStyle w:val="TableContents"/>
              <w:bidi w:val="0"/>
              <w:spacing w:before="0" w:after="283"/>
              <w:jc w:val="left"/>
              <w:rPr/>
            </w:pPr>
            <w:r>
              <w:rPr/>
              <w:t>The system shall allow a claim to be rejected at either approval step, recording the rejecting user, timestamp and an optional reason.</w:t>
            </w:r>
          </w:p>
        </w:tc>
        <w:tc>
          <w:tcPr>
            <w:tcW w:w="885" w:type="dxa"/>
            <w:tcBorders/>
            <w:vAlign w:val="center"/>
          </w:tcPr>
          <w:p>
            <w:pPr>
              <w:pStyle w:val="TableContents"/>
              <w:bidi w:val="0"/>
              <w:spacing w:before="0" w:after="283"/>
              <w:jc w:val="left"/>
              <w:rPr/>
            </w:pPr>
            <w:r>
              <w:rPr/>
              <w:t>Must</w:t>
            </w:r>
          </w:p>
        </w:tc>
      </w:tr>
      <w:tr>
        <w:trPr/>
        <w:tc>
          <w:tcPr>
            <w:tcW w:w="1062" w:type="dxa"/>
            <w:tcBorders/>
            <w:vAlign w:val="center"/>
          </w:tcPr>
          <w:p>
            <w:pPr>
              <w:pStyle w:val="TableContents"/>
              <w:bidi w:val="0"/>
              <w:spacing w:before="0" w:after="283"/>
              <w:jc w:val="left"/>
              <w:rPr/>
            </w:pPr>
            <w:r>
              <w:rPr/>
              <w:t>FR-EXP-05</w:t>
            </w:r>
          </w:p>
        </w:tc>
        <w:tc>
          <w:tcPr>
            <w:tcW w:w="8904" w:type="dxa"/>
            <w:tcBorders/>
            <w:vAlign w:val="center"/>
          </w:tcPr>
          <w:p>
            <w:pPr>
              <w:pStyle w:val="TableContents"/>
              <w:bidi w:val="0"/>
              <w:spacing w:before="0" w:after="283"/>
              <w:jc w:val="left"/>
              <w:rPr/>
            </w:pPr>
            <w:r>
              <w:rPr/>
              <w:t>The system shall, on payment of a finance-approved claim, post a balanced journal entry (debit the claim’s expense account, credit the chosen payment account) to the company’s ledger and record the link between the claim and the journal entry.</w:t>
            </w:r>
          </w:p>
        </w:tc>
        <w:tc>
          <w:tcPr>
            <w:tcW w:w="885" w:type="dxa"/>
            <w:tcBorders/>
            <w:vAlign w:val="center"/>
          </w:tcPr>
          <w:p>
            <w:pPr>
              <w:pStyle w:val="TableContents"/>
              <w:bidi w:val="0"/>
              <w:spacing w:before="0" w:after="283"/>
              <w:jc w:val="left"/>
              <w:rPr/>
            </w:pPr>
            <w:r>
              <w:rPr/>
              <w:t>Must</w:t>
            </w:r>
          </w:p>
        </w:tc>
      </w:tr>
    </w:tbl>
    <w:p>
      <w:pPr>
        <w:pStyle w:val="BodyText"/>
      </w:pPr>
      <w:r>
        <w:t>Explicitly deferred: receipt file upload (see FR-EXP-02’s own note — the same object-storage gap already noted for Company logos and Employee/Supplier documents), multi-currency conversion (currency is recorded per claim but never converted), budget-limit enforcement against a claim’s category/department, and a real disbursement/payment-gateway integration — payment is recorded as a single application action against a chosen ledger account, not an actual money movement.</w:t>
      </w:r>
    </w:p>
    <w:p>
      <w:pPr>
        <w:pStyle w:val="Heading3"/>
      </w:pPr>
      <w:r>
        <w:t>4.13 Asset Management (Phase 2 — Sprint 11)</w:t>
      </w:r>
    </w:p>
    <w:p>
      <w:pPr>
        <w:pStyle w:val="BodyText"/>
      </w:pPr>
      <w:r>
        <w:t>This section did not exist before Sprint 11 — Asset Management is explicitly Phase 2 scope per Section 12, out of this SRS’s original Phase 1 boundary. It is documented here because Sprint 11 built it, matching Multi_Holdings_Limited_Software_Development_Procedures.docx, Section 12’s own Sprint 11 directly, per mbms/README.md, “Sprint 11”. Requirements below were authored this sprint against the workflow 05_Business Process Document, Section 6.5 and morise.docx, Section 15 already described.</w:t>
      </w:r>
    </w:p>
    <w:tbl>
      <w:tblPr>
        <w:tblW w:w="10851" w:type="dxa"/>
        <w:jc w:val="left"/>
        <w:tblInd w:w="28" w:type="dxa"/>
        <w:tblLayout w:type="fixed"/>
        <w:tblCellMar>
          <w:top w:w="28" w:type="dxa"/>
          <w:left w:w="28" w:type="dxa"/>
          <w:bottom w:w="28" w:type="dxa"/>
          <w:right w:w="28" w:type="dxa"/>
        </w:tblCellMar>
      </w:tblPr>
      <w:tblGrid>
        <w:gridCol w:w="1062"/>
        <w:gridCol w:w="8904"/>
        <w:gridCol w:w="885"/>
      </w:tblGrid>
      <w:tr>
        <w:trPr/>
        <w:tc>
          <w:tcPr>
            <w:tcW w:w="1062" w:type="dxa"/>
            <w:tcBorders/>
            <w:vAlign w:val="center"/>
          </w:tcPr>
          <w:p>
            <w:pPr>
              <w:pStyle w:val="TableHeading"/>
              <w:suppressLineNumbers/>
              <w:shd w:fill="1F3864" w:val="clear"/>
              <w:bidi w:val="0"/>
              <w:spacing w:before="0" w:after="283"/>
              <w:jc w:val="left"/>
              <w:rPr/>
            </w:pPr>
            <w:r>
              <w:rPr/>
              <w:t>ID</w:t>
            </w:r>
          </w:p>
        </w:tc>
        <w:tc>
          <w:tcPr>
            <w:tcW w:w="8904" w:type="dxa"/>
            <w:tcBorders/>
            <w:vAlign w:val="center"/>
          </w:tcPr>
          <w:p>
            <w:pPr>
              <w:pStyle w:val="TableHeading"/>
              <w:suppressLineNumbers/>
              <w:shd w:fill="1F3864" w:val="clear"/>
              <w:bidi w:val="0"/>
              <w:spacing w:before="0" w:after="283"/>
              <w:jc w:val="left"/>
              <w:rPr/>
            </w:pPr>
            <w:r>
              <w:rPr/>
              <w:t>Requirement</w:t>
            </w:r>
          </w:p>
        </w:tc>
        <w:tc>
          <w:tcPr>
            <w:tcW w:w="885" w:type="dxa"/>
            <w:tcBorders/>
            <w:vAlign w:val="center"/>
          </w:tcPr>
          <w:p>
            <w:pPr>
              <w:pStyle w:val="TableHeading"/>
              <w:suppressLineNumbers/>
              <w:shd w:fill="1F3864" w:val="clear"/>
              <w:bidi w:val="0"/>
              <w:spacing w:before="0" w:after="283"/>
              <w:jc w:val="left"/>
              <w:rPr/>
            </w:pPr>
            <w:r>
              <w:rPr/>
              <w:t>Priority</w:t>
            </w:r>
          </w:p>
        </w:tc>
      </w:tr>
      <w:tr>
        <w:trPr/>
        <w:tc>
          <w:tcPr>
            <w:tcW w:w="1062" w:type="dxa"/>
            <w:tcBorders/>
            <w:vAlign w:val="center"/>
          </w:tcPr>
          <w:p>
            <w:pPr>
              <w:pStyle w:val="TableContents"/>
              <w:bidi w:val="0"/>
              <w:spacing w:before="0" w:after="283"/>
              <w:jc w:val="left"/>
              <w:rPr/>
            </w:pPr>
            <w:r>
              <w:rPr/>
              <w:t>FR-ASSET-01</w:t>
            </w:r>
          </w:p>
        </w:tc>
        <w:tc>
          <w:tcPr>
            <w:tcW w:w="8904" w:type="dxa"/>
            <w:tcBorders/>
            <w:vAlign w:val="center"/>
          </w:tcPr>
          <w:p>
            <w:pPr>
              <w:pStyle w:val="TableContents"/>
              <w:bidi w:val="0"/>
              <w:spacing w:before="0" w:after="283"/>
              <w:jc w:val="left"/>
              <w:rPr/>
            </w:pPr>
            <w:r>
              <w:rPr/>
              <w:t>The system shall allow registration of an asset with a unique asset number, name, category, location (branch), custodian, purchase date and purchase cost.</w:t>
            </w:r>
          </w:p>
        </w:tc>
        <w:tc>
          <w:tcPr>
            <w:tcW w:w="885" w:type="dxa"/>
            <w:tcBorders/>
            <w:vAlign w:val="center"/>
          </w:tcPr>
          <w:p>
            <w:pPr>
              <w:pStyle w:val="TableContents"/>
              <w:bidi w:val="0"/>
              <w:spacing w:before="0" w:after="283"/>
              <w:jc w:val="left"/>
              <w:rPr/>
            </w:pPr>
            <w:r>
              <w:rPr/>
              <w:t>Must</w:t>
            </w:r>
          </w:p>
        </w:tc>
      </w:tr>
      <w:tr>
        <w:trPr/>
        <w:tc>
          <w:tcPr>
            <w:tcW w:w="1062" w:type="dxa"/>
            <w:tcBorders/>
            <w:vAlign w:val="center"/>
          </w:tcPr>
          <w:p>
            <w:pPr>
              <w:pStyle w:val="TableContents"/>
              <w:bidi w:val="0"/>
              <w:spacing w:before="0" w:after="283"/>
              <w:jc w:val="left"/>
              <w:rPr/>
            </w:pPr>
            <w:r>
              <w:rPr/>
              <w:t>FR-ASSET-02</w:t>
            </w:r>
          </w:p>
        </w:tc>
        <w:tc>
          <w:tcPr>
            <w:tcW w:w="8904" w:type="dxa"/>
            <w:tcBorders/>
            <w:vAlign w:val="center"/>
          </w:tcPr>
          <w:p>
            <w:pPr>
              <w:pStyle w:val="TableContents"/>
              <w:bidi w:val="0"/>
              <w:spacing w:before="0" w:after="283"/>
              <w:jc w:val="left"/>
              <w:rPr/>
            </w:pPr>
            <w:r>
              <w:rPr/>
              <w:t>The system shall allow an asset to be transferred to a new location and/or custodian.</w:t>
            </w:r>
          </w:p>
        </w:tc>
        <w:tc>
          <w:tcPr>
            <w:tcW w:w="885" w:type="dxa"/>
            <w:tcBorders/>
            <w:vAlign w:val="center"/>
          </w:tcPr>
          <w:p>
            <w:pPr>
              <w:pStyle w:val="TableContents"/>
              <w:bidi w:val="0"/>
              <w:spacing w:before="0" w:after="283"/>
              <w:jc w:val="left"/>
              <w:rPr/>
            </w:pPr>
            <w:r>
              <w:rPr/>
              <w:t>Should</w:t>
            </w:r>
          </w:p>
        </w:tc>
      </w:tr>
      <w:tr>
        <w:trPr/>
        <w:tc>
          <w:tcPr>
            <w:tcW w:w="1062" w:type="dxa"/>
            <w:tcBorders/>
            <w:vAlign w:val="center"/>
          </w:tcPr>
          <w:p>
            <w:pPr>
              <w:pStyle w:val="TableContents"/>
              <w:bidi w:val="0"/>
              <w:spacing w:before="0" w:after="283"/>
              <w:jc w:val="left"/>
              <w:rPr/>
            </w:pPr>
            <w:r>
              <w:rPr/>
              <w:t>FR-ASSET-03</w:t>
            </w:r>
          </w:p>
        </w:tc>
        <w:tc>
          <w:tcPr>
            <w:tcW w:w="8904" w:type="dxa"/>
            <w:tcBorders/>
            <w:vAlign w:val="center"/>
          </w:tcPr>
          <w:p>
            <w:pPr>
              <w:pStyle w:val="TableContents"/>
              <w:bidi w:val="0"/>
              <w:spacing w:before="0" w:after="283"/>
              <w:jc w:val="left"/>
              <w:rPr/>
            </w:pPr>
            <w:r>
              <w:rPr/>
              <w:t>The system shall support straight-line depreciation of an asset, posting a balanced journal entry for each depreciation amount recorded and rejecting any amount that would depreciate the asset below its salvage value.</w:t>
            </w:r>
          </w:p>
        </w:tc>
        <w:tc>
          <w:tcPr>
            <w:tcW w:w="885" w:type="dxa"/>
            <w:tcBorders/>
            <w:vAlign w:val="center"/>
          </w:tcPr>
          <w:p>
            <w:pPr>
              <w:pStyle w:val="TableContents"/>
              <w:bidi w:val="0"/>
              <w:spacing w:before="0" w:after="283"/>
              <w:jc w:val="left"/>
              <w:rPr/>
            </w:pPr>
            <w:r>
              <w:rPr/>
              <w:t>Should</w:t>
            </w:r>
          </w:p>
        </w:tc>
      </w:tr>
      <w:tr>
        <w:trPr/>
        <w:tc>
          <w:tcPr>
            <w:tcW w:w="1062" w:type="dxa"/>
            <w:tcBorders/>
            <w:vAlign w:val="center"/>
          </w:tcPr>
          <w:p>
            <w:pPr>
              <w:pStyle w:val="TableContents"/>
              <w:bidi w:val="0"/>
              <w:spacing w:before="0" w:after="283"/>
              <w:jc w:val="left"/>
              <w:rPr/>
            </w:pPr>
            <w:r>
              <w:rPr/>
              <w:t>FR-ASSET-04</w:t>
            </w:r>
          </w:p>
        </w:tc>
        <w:tc>
          <w:tcPr>
            <w:tcW w:w="8904" w:type="dxa"/>
            <w:tcBorders/>
            <w:vAlign w:val="center"/>
          </w:tcPr>
          <w:p>
            <w:pPr>
              <w:pStyle w:val="TableContents"/>
              <w:bidi w:val="0"/>
              <w:spacing w:before="0" w:after="283"/>
              <w:jc w:val="left"/>
              <w:rPr/>
            </w:pPr>
            <w:r>
              <w:rPr/>
              <w:t>The system shall route asset disposal through a request, management approval (with inspection notes), and execution workflow, posting a balanced derecognition entry to the ledger on execution.</w:t>
            </w:r>
          </w:p>
        </w:tc>
        <w:tc>
          <w:tcPr>
            <w:tcW w:w="885" w:type="dxa"/>
            <w:tcBorders/>
            <w:vAlign w:val="center"/>
          </w:tcPr>
          <w:p>
            <w:pPr>
              <w:pStyle w:val="TableContents"/>
              <w:bidi w:val="0"/>
              <w:spacing w:before="0" w:after="283"/>
              <w:jc w:val="left"/>
              <w:rPr/>
            </w:pPr>
            <w:r>
              <w:rPr/>
              <w:t>Must</w:t>
            </w:r>
          </w:p>
        </w:tc>
      </w:tr>
      <w:tr>
        <w:trPr/>
        <w:tc>
          <w:tcPr>
            <w:tcW w:w="1062" w:type="dxa"/>
            <w:tcBorders/>
            <w:vAlign w:val="center"/>
          </w:tcPr>
          <w:p>
            <w:pPr>
              <w:pStyle w:val="TableContents"/>
              <w:bidi w:val="0"/>
              <w:spacing w:before="0" w:after="283"/>
              <w:jc w:val="left"/>
              <w:rPr/>
            </w:pPr>
            <w:r>
              <w:rPr/>
              <w:t>FR-ASSET-05</w:t>
            </w:r>
          </w:p>
        </w:tc>
        <w:tc>
          <w:tcPr>
            <w:tcW w:w="8904" w:type="dxa"/>
            <w:tcBorders/>
            <w:vAlign w:val="center"/>
          </w:tcPr>
          <w:p>
            <w:pPr>
              <w:pStyle w:val="TableContents"/>
              <w:bidi w:val="0"/>
              <w:spacing w:before="0" w:after="283"/>
              <w:jc w:val="left"/>
              <w:rPr/>
            </w:pPr>
            <w:r>
              <w:rPr/>
              <w:t>The system shall allow maintenance records to be logged against an asset, optionally with a cost posted to the ledger.</w:t>
            </w:r>
          </w:p>
        </w:tc>
        <w:tc>
          <w:tcPr>
            <w:tcW w:w="885" w:type="dxa"/>
            <w:tcBorders/>
            <w:vAlign w:val="center"/>
          </w:tcPr>
          <w:p>
            <w:pPr>
              <w:pStyle w:val="TableContents"/>
              <w:bidi w:val="0"/>
              <w:spacing w:before="0" w:after="283"/>
              <w:jc w:val="left"/>
              <w:rPr/>
            </w:pPr>
            <w:r>
              <w:rPr/>
              <w:t>Should</w:t>
            </w:r>
          </w:p>
        </w:tc>
      </w:tr>
    </w:tbl>
    <w:p>
      <w:pPr>
        <w:pStyle w:val="BodyText"/>
      </w:pPr>
      <w:r>
        <w:t>Explicitly deferred: real document/photo upload for asset records (the same object-storage gap noted throughout this document), bulk asset import, a distinct "asset return" workflow, and formal scheduled inspection/audit reminders (no scheduler infrastructure exists in this proof-of-concept, the same gap already noted for FR-ACC-07’s recurring entries).</w:t>
      </w:r>
    </w:p>
    <w:p>
      <w:pPr>
        <w:pStyle w:val="Heading3"/>
      </w:pPr>
      <w:r>
        <w:t>4.14 Project Management (Phase 2 — Sprint 12)</w:t>
      </w:r>
    </w:p>
    <w:p>
      <w:pPr>
        <w:pStyle w:val="BodyText"/>
      </w:pPr>
      <w:r>
        <w:t>This section did not exist before Sprint 12 — Project Management is explicitly Phase 2 scope per Section 12, out of this SRS’s original Phase 1 boundary. It is documented here because Sprint 12 built it, matching Multi_Holdings_Limited_Software_Development_Procedures.docx, Section 12’s own Sprint 12 directly, per mbms/README.md, “Sprint 12”. Requirements below were authored this sprint against the workflow 05_Business Process Document, Section 6.6 and morise.docx, Section 17 already described.</w:t>
      </w:r>
    </w:p>
    <w:tbl>
      <w:tblPr>
        <w:tblW w:w="10851" w:type="dxa"/>
        <w:jc w:val="left"/>
        <w:tblInd w:w="28" w:type="dxa"/>
        <w:tblLayout w:type="fixed"/>
        <w:tblCellMar>
          <w:top w:w="28" w:type="dxa"/>
          <w:left w:w="28" w:type="dxa"/>
          <w:bottom w:w="28" w:type="dxa"/>
          <w:right w:w="28" w:type="dxa"/>
        </w:tblCellMar>
      </w:tblPr>
      <w:tblGrid>
        <w:gridCol w:w="1062"/>
        <w:gridCol w:w="8904"/>
        <w:gridCol w:w="885"/>
      </w:tblGrid>
      <w:tr>
        <w:trPr/>
        <w:tc>
          <w:tcPr>
            <w:tcW w:w="1062" w:type="dxa"/>
            <w:tcBorders/>
            <w:vAlign w:val="center"/>
          </w:tcPr>
          <w:p>
            <w:pPr>
              <w:pStyle w:val="TableHeading"/>
              <w:suppressLineNumbers/>
              <w:shd w:fill="1F3864" w:val="clear"/>
              <w:bidi w:val="0"/>
              <w:spacing w:before="0" w:after="283"/>
              <w:jc w:val="left"/>
              <w:rPr/>
            </w:pPr>
            <w:r>
              <w:rPr/>
              <w:t>ID</w:t>
            </w:r>
          </w:p>
        </w:tc>
        <w:tc>
          <w:tcPr>
            <w:tcW w:w="8904" w:type="dxa"/>
            <w:tcBorders/>
            <w:vAlign w:val="center"/>
          </w:tcPr>
          <w:p>
            <w:pPr>
              <w:pStyle w:val="TableHeading"/>
              <w:suppressLineNumbers/>
              <w:shd w:fill="1F3864" w:val="clear"/>
              <w:bidi w:val="0"/>
              <w:spacing w:before="0" w:after="283"/>
              <w:jc w:val="left"/>
              <w:rPr/>
            </w:pPr>
            <w:r>
              <w:rPr/>
              <w:t>Requirement</w:t>
            </w:r>
          </w:p>
        </w:tc>
        <w:tc>
          <w:tcPr>
            <w:tcW w:w="885" w:type="dxa"/>
            <w:tcBorders/>
            <w:vAlign w:val="center"/>
          </w:tcPr>
          <w:p>
            <w:pPr>
              <w:pStyle w:val="TableHeading"/>
              <w:suppressLineNumbers/>
              <w:shd w:fill="1F3864" w:val="clear"/>
              <w:bidi w:val="0"/>
              <w:spacing w:before="0" w:after="283"/>
              <w:jc w:val="left"/>
              <w:rPr/>
            </w:pPr>
            <w:r>
              <w:rPr/>
              <w:t>Priority</w:t>
            </w:r>
          </w:p>
        </w:tc>
      </w:tr>
      <w:tr>
        <w:trPr/>
        <w:tc>
          <w:tcPr>
            <w:tcW w:w="1062" w:type="dxa"/>
            <w:tcBorders/>
            <w:vAlign w:val="center"/>
          </w:tcPr>
          <w:p>
            <w:pPr>
              <w:pStyle w:val="TableContents"/>
              <w:bidi w:val="0"/>
              <w:spacing w:before="0" w:after="283"/>
              <w:jc w:val="left"/>
              <w:rPr/>
            </w:pPr>
            <w:r>
              <w:rPr/>
              <w:t>FR-PROJ-01</w:t>
            </w:r>
          </w:p>
        </w:tc>
        <w:tc>
          <w:tcPr>
            <w:tcW w:w="8904" w:type="dxa"/>
            <w:tcBorders/>
            <w:vAlign w:val="center"/>
          </w:tcPr>
          <w:p>
            <w:pPr>
              <w:pStyle w:val="TableContents"/>
              <w:bidi w:val="0"/>
              <w:spacing w:before="0" w:after="283"/>
              <w:jc w:val="left"/>
              <w:rPr/>
            </w:pPr>
            <w:r>
              <w:rPr/>
              <w:t>The system shall allow registration of a project with a unique project code, name, manager, start date, planned end date and budget.</w:t>
            </w:r>
          </w:p>
        </w:tc>
        <w:tc>
          <w:tcPr>
            <w:tcW w:w="885" w:type="dxa"/>
            <w:tcBorders/>
            <w:vAlign w:val="center"/>
          </w:tcPr>
          <w:p>
            <w:pPr>
              <w:pStyle w:val="TableContents"/>
              <w:bidi w:val="0"/>
              <w:spacing w:before="0" w:after="283"/>
              <w:jc w:val="left"/>
              <w:rPr/>
            </w:pPr>
            <w:r>
              <w:rPr/>
              <w:t>Must</w:t>
            </w:r>
          </w:p>
        </w:tc>
      </w:tr>
      <w:tr>
        <w:trPr/>
        <w:tc>
          <w:tcPr>
            <w:tcW w:w="1062" w:type="dxa"/>
            <w:tcBorders/>
            <w:vAlign w:val="center"/>
          </w:tcPr>
          <w:p>
            <w:pPr>
              <w:pStyle w:val="TableContents"/>
              <w:bidi w:val="0"/>
              <w:spacing w:before="0" w:after="283"/>
              <w:jc w:val="left"/>
              <w:rPr/>
            </w:pPr>
            <w:r>
              <w:rPr/>
              <w:t>FR-PROJ-02</w:t>
            </w:r>
          </w:p>
        </w:tc>
        <w:tc>
          <w:tcPr>
            <w:tcW w:w="8904" w:type="dxa"/>
            <w:tcBorders/>
            <w:vAlign w:val="center"/>
          </w:tcPr>
          <w:p>
            <w:pPr>
              <w:pStyle w:val="TableContents"/>
              <w:bidi w:val="0"/>
              <w:spacing w:before="0" w:after="283"/>
              <w:jc w:val="left"/>
              <w:rPr/>
            </w:pPr>
            <w:r>
              <w:rPr/>
              <w:t>The system shall allow team members and tasks to be assigned to a project and their status tracked.</w:t>
            </w:r>
          </w:p>
        </w:tc>
        <w:tc>
          <w:tcPr>
            <w:tcW w:w="885" w:type="dxa"/>
            <w:tcBorders/>
            <w:vAlign w:val="center"/>
          </w:tcPr>
          <w:p>
            <w:pPr>
              <w:pStyle w:val="TableContents"/>
              <w:bidi w:val="0"/>
              <w:spacing w:before="0" w:after="283"/>
              <w:jc w:val="left"/>
              <w:rPr/>
            </w:pPr>
            <w:r>
              <w:rPr/>
              <w:t>Should</w:t>
            </w:r>
          </w:p>
        </w:tc>
      </w:tr>
      <w:tr>
        <w:trPr/>
        <w:tc>
          <w:tcPr>
            <w:tcW w:w="1062" w:type="dxa"/>
            <w:tcBorders/>
            <w:vAlign w:val="center"/>
          </w:tcPr>
          <w:p>
            <w:pPr>
              <w:pStyle w:val="TableContents"/>
              <w:bidi w:val="0"/>
              <w:spacing w:before="0" w:after="283"/>
              <w:jc w:val="left"/>
              <w:rPr/>
            </w:pPr>
            <w:r>
              <w:rPr/>
              <w:t>FR-PROJ-03</w:t>
            </w:r>
          </w:p>
        </w:tc>
        <w:tc>
          <w:tcPr>
            <w:tcW w:w="8904" w:type="dxa"/>
            <w:tcBorders/>
            <w:vAlign w:val="center"/>
          </w:tcPr>
          <w:p>
            <w:pPr>
              <w:pStyle w:val="TableContents"/>
              <w:bidi w:val="0"/>
              <w:spacing w:before="0" w:after="283"/>
              <w:jc w:val="left"/>
              <w:rPr/>
            </w:pPr>
            <w:r>
              <w:rPr/>
              <w:t>The system shall support project milestones with a due date and a completion status.</w:t>
            </w:r>
          </w:p>
        </w:tc>
        <w:tc>
          <w:tcPr>
            <w:tcW w:w="885" w:type="dxa"/>
            <w:tcBorders/>
            <w:vAlign w:val="center"/>
          </w:tcPr>
          <w:p>
            <w:pPr>
              <w:pStyle w:val="TableContents"/>
              <w:bidi w:val="0"/>
              <w:spacing w:before="0" w:after="283"/>
              <w:jc w:val="left"/>
              <w:rPr/>
            </w:pPr>
            <w:r>
              <w:rPr/>
              <w:t>Could</w:t>
            </w:r>
          </w:p>
        </w:tc>
      </w:tr>
      <w:tr>
        <w:trPr/>
        <w:tc>
          <w:tcPr>
            <w:tcW w:w="1062" w:type="dxa"/>
            <w:tcBorders/>
            <w:vAlign w:val="center"/>
          </w:tcPr>
          <w:p>
            <w:pPr>
              <w:pStyle w:val="TableContents"/>
              <w:bidi w:val="0"/>
              <w:spacing w:before="0" w:after="283"/>
              <w:jc w:val="left"/>
              <w:rPr/>
            </w:pPr>
            <w:r>
              <w:rPr/>
              <w:t>FR-PROJ-04</w:t>
            </w:r>
          </w:p>
        </w:tc>
        <w:tc>
          <w:tcPr>
            <w:tcW w:w="8904" w:type="dxa"/>
            <w:tcBorders/>
            <w:vAlign w:val="center"/>
          </w:tcPr>
          <w:p>
            <w:pPr>
              <w:pStyle w:val="TableContents"/>
              <w:bidi w:val="0"/>
              <w:spacing w:before="0" w:after="283"/>
              <w:jc w:val="left"/>
              <w:rPr/>
            </w:pPr>
            <w:r>
              <w:rPr/>
              <w:t>The system shall allow expense claims to be attributed to a project, contributing to that project’s actual cost.</w:t>
            </w:r>
          </w:p>
        </w:tc>
        <w:tc>
          <w:tcPr>
            <w:tcW w:w="885" w:type="dxa"/>
            <w:tcBorders/>
            <w:vAlign w:val="center"/>
          </w:tcPr>
          <w:p>
            <w:pPr>
              <w:pStyle w:val="TableContents"/>
              <w:bidi w:val="0"/>
              <w:spacing w:before="0" w:after="283"/>
              <w:jc w:val="left"/>
              <w:rPr/>
            </w:pPr>
            <w:r>
              <w:rPr/>
              <w:t>Should</w:t>
            </w:r>
          </w:p>
        </w:tc>
      </w:tr>
      <w:tr>
        <w:trPr/>
        <w:tc>
          <w:tcPr>
            <w:tcW w:w="1062" w:type="dxa"/>
            <w:tcBorders/>
            <w:vAlign w:val="center"/>
          </w:tcPr>
          <w:p>
            <w:pPr>
              <w:pStyle w:val="TableContents"/>
              <w:bidi w:val="0"/>
              <w:spacing w:before="0" w:after="283"/>
              <w:jc w:val="left"/>
              <w:rPr/>
            </w:pPr>
            <w:r>
              <w:rPr/>
              <w:t>FR-PROJ-05</w:t>
            </w:r>
          </w:p>
        </w:tc>
        <w:tc>
          <w:tcPr>
            <w:tcW w:w="8904" w:type="dxa"/>
            <w:tcBorders/>
            <w:vAlign w:val="center"/>
          </w:tcPr>
          <w:p>
            <w:pPr>
              <w:pStyle w:val="TableContents"/>
              <w:bidi w:val="0"/>
              <w:spacing w:before="0" w:after="283"/>
              <w:jc w:val="left"/>
              <w:rPr/>
            </w:pPr>
            <w:r>
              <w:rPr/>
              <w:t>The system shall report a project’s budget, actual cost, revenue and profit margin.</w:t>
            </w:r>
          </w:p>
        </w:tc>
        <w:tc>
          <w:tcPr>
            <w:tcW w:w="885" w:type="dxa"/>
            <w:tcBorders/>
            <w:vAlign w:val="center"/>
          </w:tcPr>
          <w:p>
            <w:pPr>
              <w:pStyle w:val="TableContents"/>
              <w:bidi w:val="0"/>
              <w:spacing w:before="0" w:after="283"/>
              <w:jc w:val="left"/>
              <w:rPr/>
            </w:pPr>
            <w:r>
              <w:rPr/>
              <w:t>Should</w:t>
            </w:r>
          </w:p>
        </w:tc>
      </w:tr>
      <w:tr>
        <w:trPr/>
        <w:tc>
          <w:tcPr>
            <w:tcW w:w="1062" w:type="dxa"/>
            <w:tcBorders/>
            <w:vAlign w:val="center"/>
          </w:tcPr>
          <w:p>
            <w:pPr>
              <w:pStyle w:val="TableContents"/>
              <w:bidi w:val="0"/>
              <w:spacing w:before="0" w:after="283"/>
              <w:jc w:val="left"/>
              <w:rPr/>
            </w:pPr>
            <w:r>
              <w:rPr/>
              <w:t>FR-PROJ-06</w:t>
            </w:r>
          </w:p>
        </w:tc>
        <w:tc>
          <w:tcPr>
            <w:tcW w:w="8904" w:type="dxa"/>
            <w:tcBorders/>
            <w:vAlign w:val="center"/>
          </w:tcPr>
          <w:p>
            <w:pPr>
              <w:pStyle w:val="TableContents"/>
              <w:bidi w:val="0"/>
              <w:spacing w:before="0" w:after="283"/>
              <w:jc w:val="left"/>
              <w:rPr/>
            </w:pPr>
            <w:r>
              <w:rPr/>
              <w:t>The system shall route a project through a status lifecycle (planned, active, on hold, completed, closed) via explicit, auditable transitions.</w:t>
            </w:r>
          </w:p>
        </w:tc>
        <w:tc>
          <w:tcPr>
            <w:tcW w:w="885" w:type="dxa"/>
            <w:tcBorders/>
            <w:vAlign w:val="center"/>
          </w:tcPr>
          <w:p>
            <w:pPr>
              <w:pStyle w:val="TableContents"/>
              <w:bidi w:val="0"/>
              <w:spacing w:before="0" w:after="283"/>
              <w:jc w:val="left"/>
              <w:rPr/>
            </w:pPr>
            <w:r>
              <w:rPr/>
              <w:t>Must</w:t>
            </w:r>
          </w:p>
        </w:tc>
      </w:tr>
    </w:tbl>
    <w:p>
      <w:pPr>
        <w:pStyle w:val="BodyText"/>
      </w:pPr>
      <w:r>
        <w:t>Explicitly deferred: real document upload for project records (the same object-storage gap noted throughout this document), timeline/Gantt visualization, and automated revenue recognition from an invoicing module (no Sales/Invoicing module exists yet — revenueAmount is recorded manually).</w:t>
      </w:r>
    </w:p>
    <w:p>
      <w:pPr>
        <w:pStyle w:val="Heading3"/>
      </w:pPr>
      <w:r>
        <w:t>4.15 Notifications (Sprint 14)</w:t>
      </w:r>
    </w:p>
    <w:p>
      <w:pPr>
        <w:pStyle w:val="BodyText"/>
      </w:pPr>
      <w:r>
        <w:t>This section did not exist before Sprint 14 — Notifications was listed only under this document's general Phase 2+ deferral language, with no dedicated Phase 1 or Phase 2 section of its own, unlike Expenses/Assets/Projects/Reports, which all had at least a named place in this document before being built. Requirements below were authored this sprint against morise.docx, Section 39 ("Notifications and Alerts") and the "Workflow notifications" bullet specifically, per mbms/README.md, "Sprint 14".</w:t>
      </w:r>
    </w:p>
    <w:tbl>
      <w:tblPr>
        <w:tblW w:w="10851" w:type="dxa"/>
        <w:jc w:val="left"/>
        <w:tblInd w:w="28" w:type="dxa"/>
        <w:tblLayout w:type="fixed"/>
        <w:tblCellMar>
          <w:top w:w="28" w:type="dxa"/>
          <w:left w:w="28" w:type="dxa"/>
          <w:bottom w:w="28" w:type="dxa"/>
          <w:right w:w="28" w:type="dxa"/>
        </w:tblCellMar>
      </w:tblPr>
      <w:tblGrid>
        <w:gridCol w:w="1062"/>
        <w:gridCol w:w="8904"/>
        <w:gridCol w:w="885"/>
      </w:tblGrid>
      <w:tr>
        <w:trPr/>
        <w:tc>
          <w:tcPr>
            <w:tcW w:w="1062" w:type="dxa"/>
            <w:tcBorders/>
            <w:vAlign w:val="center"/>
          </w:tcPr>
          <w:p>
            <w:pPr>
              <w:pStyle w:val="TableHeading"/>
              <w:suppressLineNumbers/>
              <w:shd w:fill="1F3864" w:val="clear"/>
              <w:bidi w:val="0"/>
              <w:spacing w:before="0" w:after="283"/>
              <w:jc w:val="left"/>
              <w:rPr/>
            </w:pPr>
            <w:r>
              <w:rPr/>
              <w:t>ID</w:t>
            </w:r>
          </w:p>
        </w:tc>
        <w:tc>
          <w:tcPr>
            <w:tcW w:w="8904" w:type="dxa"/>
            <w:tcBorders/>
            <w:vAlign w:val="center"/>
          </w:tcPr>
          <w:p>
            <w:pPr>
              <w:pStyle w:val="TableHeading"/>
              <w:suppressLineNumbers/>
              <w:shd w:fill="1F3864" w:val="clear"/>
              <w:bidi w:val="0"/>
              <w:spacing w:before="0" w:after="283"/>
              <w:jc w:val="left"/>
              <w:rPr/>
            </w:pPr>
            <w:r>
              <w:rPr/>
              <w:t>Requirement</w:t>
            </w:r>
          </w:p>
        </w:tc>
        <w:tc>
          <w:tcPr>
            <w:tcW w:w="885" w:type="dxa"/>
            <w:tcBorders/>
            <w:vAlign w:val="center"/>
          </w:tcPr>
          <w:p>
            <w:pPr>
              <w:pStyle w:val="TableHeading"/>
              <w:suppressLineNumbers/>
              <w:shd w:fill="1F3864" w:val="clear"/>
              <w:bidi w:val="0"/>
              <w:spacing w:before="0" w:after="283"/>
              <w:jc w:val="left"/>
              <w:rPr/>
            </w:pPr>
            <w:r>
              <w:rPr/>
              <w:t>Priority</w:t>
            </w:r>
          </w:p>
        </w:tc>
      </w:tr>
      <w:tr>
        <w:trPr/>
        <w:tc>
          <w:tcPr>
            <w:tcW w:w="1062" w:type="dxa"/>
            <w:tcBorders/>
            <w:vAlign w:val="center"/>
          </w:tcPr>
          <w:p>
            <w:pPr>
              <w:pStyle w:val="TableContents"/>
              <w:bidi w:val="0"/>
              <w:spacing w:before="0" w:after="283"/>
              <w:jc w:val="left"/>
              <w:rPr/>
            </w:pPr>
            <w:r>
              <w:rPr/>
              <w:t>FR-NOTIF-01</w:t>
            </w:r>
          </w:p>
        </w:tc>
        <w:tc>
          <w:tcPr>
            <w:tcW w:w="8904" w:type="dxa"/>
            <w:tcBorders/>
            <w:vAlign w:val="center"/>
          </w:tcPr>
          <w:p>
            <w:pPr>
              <w:pStyle w:val="TableContents"/>
              <w:bidi w:val="0"/>
              <w:spacing w:before="0" w:after="283"/>
              <w:jc w:val="left"/>
              <w:rPr/>
            </w:pPr>
            <w:r>
              <w:rPr/>
              <w:t>The system shall notify a user, in-app, when an action they hold the relevant permission to take (such as approving an expense claim or an asset disposal) becomes available on a record in their scope.</w:t>
            </w:r>
          </w:p>
        </w:tc>
        <w:tc>
          <w:tcPr>
            <w:tcW w:w="885" w:type="dxa"/>
            <w:tcBorders/>
            <w:vAlign w:val="center"/>
          </w:tcPr>
          <w:p>
            <w:pPr>
              <w:pStyle w:val="TableContents"/>
              <w:bidi w:val="0"/>
              <w:spacing w:before="0" w:after="283"/>
              <w:jc w:val="left"/>
              <w:rPr/>
            </w:pPr>
            <w:r>
              <w:rPr/>
              <w:t>Should</w:t>
            </w:r>
          </w:p>
        </w:tc>
      </w:tr>
      <w:tr>
        <w:trPr/>
        <w:tc>
          <w:tcPr>
            <w:tcW w:w="1062" w:type="dxa"/>
            <w:tcBorders/>
            <w:vAlign w:val="center"/>
          </w:tcPr>
          <w:p>
            <w:pPr>
              <w:pStyle w:val="TableContents"/>
              <w:bidi w:val="0"/>
              <w:spacing w:before="0" w:after="283"/>
              <w:jc w:val="left"/>
              <w:rPr/>
            </w:pPr>
            <w:r>
              <w:rPr/>
              <w:t>FR-NOTIF-02</w:t>
            </w:r>
          </w:p>
        </w:tc>
        <w:tc>
          <w:tcPr>
            <w:tcW w:w="8904" w:type="dxa"/>
            <w:tcBorders/>
            <w:vAlign w:val="center"/>
          </w:tcPr>
          <w:p>
            <w:pPr>
              <w:pStyle w:val="TableContents"/>
              <w:bidi w:val="0"/>
              <w:spacing w:before="0" w:after="283"/>
              <w:jc w:val="left"/>
              <w:rPr/>
            </w:pPr>
            <w:r>
              <w:rPr/>
              <w:t>The system shall allow a user to view their own notification feed, see an unread count, and mark one or all notifications as read.</w:t>
            </w:r>
          </w:p>
        </w:tc>
        <w:tc>
          <w:tcPr>
            <w:tcW w:w="885" w:type="dxa"/>
            <w:tcBorders/>
            <w:vAlign w:val="center"/>
          </w:tcPr>
          <w:p>
            <w:pPr>
              <w:pStyle w:val="TableContents"/>
              <w:bidi w:val="0"/>
              <w:spacing w:before="0" w:after="283"/>
              <w:jc w:val="left"/>
              <w:rPr/>
            </w:pPr>
            <w:r>
              <w:rPr/>
              <w:t>Should</w:t>
            </w:r>
          </w:p>
        </w:tc>
      </w:tr>
    </w:tbl>
    <w:p>
      <w:pPr>
        <w:pStyle w:val="BodyText"/>
      </w:pPr>
      <w:r>
        <w:t>Explicitly deferred: email, push and SMS notification channels (no external delivery infrastructure exists in this proof-of-concept), notification preferences/settings, and scheduled/reminder notifications (no job scheduler exists — the same gap already noted for FR-ACC-07's recurring entries).</w:t>
      </w:r>
    </w:p>
    <w:p>
      <w:pPr>
        <w:pStyle w:val="Heading2"/>
        <w:bidi w:val="0"/>
        <w:jc w:val="left"/>
        <w:rPr/>
      </w:pPr>
      <w:r>
        <w:rPr/>
        <w:t>5. Non-Functional Requirements</w:t>
      </w:r>
    </w:p>
    <w:p>
      <w:pPr>
        <w:pStyle w:val="BodyText"/>
        <w:bidi w:val="0"/>
        <w:jc w:val="left"/>
        <w:rPr/>
      </w:pPr>
      <w:r>
        <w:rPr/>
        <w:t xml:space="preserve">Targets below are </w:t>
      </w:r>
      <w:r>
        <w:rPr>
          <w:b/>
        </w:rPr>
        <w:t>proposed planning targets</w:t>
      </w:r>
      <w:r>
        <w:rPr/>
        <w:t>. They should be reviewed and confirmed (or adjusted) by the engaged development partner based on actual expected user counts and the microservices infrastructure design in 07_System Design Document.</w:t>
      </w:r>
    </w:p>
    <w:p>
      <w:pPr>
        <w:pStyle w:val="Heading3"/>
        <w:bidi w:val="0"/>
        <w:jc w:val="left"/>
        <w:rPr/>
      </w:pPr>
      <w:r>
        <w:rPr/>
        <w:t>5.1 Performance</w:t>
      </w:r>
    </w:p>
    <w:tbl>
      <w:tblPr>
        <w:tblW w:w="11339" w:type="dxa"/>
        <w:jc w:val="left"/>
        <w:tblInd w:w="28" w:type="dxa"/>
        <w:tblLayout w:type="fixed"/>
        <w:tblCellMar>
          <w:top w:w="28" w:type="dxa"/>
          <w:left w:w="28" w:type="dxa"/>
          <w:bottom w:w="28" w:type="dxa"/>
          <w:right w:w="28" w:type="dxa"/>
        </w:tblCellMar>
      </w:tblPr>
      <w:tblGrid>
        <w:gridCol w:w="687"/>
        <w:gridCol w:w="9766"/>
        <w:gridCol w:w="886"/>
      </w:tblGrid>
      <w:tr>
        <w:trPr/>
        <w:tc>
          <w:tcPr>
            <w:tcW w:w="687" w:type="dxa"/>
            <w:tcBorders/>
            <w:vAlign w:val="center"/>
          </w:tcPr>
          <w:p>
            <w:pPr>
              <w:pStyle w:val="TableHeading"/>
              <w:suppressLineNumbers/>
              <w:shd w:fill="1F3864" w:val="clear"/>
              <w:bidi w:val="0"/>
              <w:spacing w:before="0" w:after="283"/>
              <w:jc w:val="left"/>
              <w:rPr/>
            </w:pPr>
            <w:r>
              <w:rPr/>
              <w:t>ID</w:t>
            </w:r>
          </w:p>
        </w:tc>
        <w:tc>
          <w:tcPr>
            <w:tcW w:w="9766" w:type="dxa"/>
            <w:tcBorders/>
            <w:vAlign w:val="center"/>
          </w:tcPr>
          <w:p>
            <w:pPr>
              <w:pStyle w:val="TableHeading"/>
              <w:suppressLineNumbers/>
              <w:shd w:fill="1F3864" w:val="clear"/>
              <w:bidi w:val="0"/>
              <w:spacing w:before="0" w:after="283"/>
              <w:jc w:val="left"/>
              <w:rPr/>
            </w:pPr>
            <w:r>
              <w:rPr/>
              <w:t>Requirement</w:t>
            </w:r>
          </w:p>
        </w:tc>
        <w:tc>
          <w:tcPr>
            <w:tcW w:w="886" w:type="dxa"/>
            <w:tcBorders/>
            <w:vAlign w:val="center"/>
          </w:tcPr>
          <w:p>
            <w:pPr>
              <w:pStyle w:val="TableHeading"/>
              <w:suppressLineNumbers/>
              <w:shd w:fill="1F3864" w:val="clear"/>
              <w:bidi w:val="0"/>
              <w:spacing w:before="0" w:after="283"/>
              <w:jc w:val="left"/>
              <w:rPr/>
            </w:pPr>
            <w:r>
              <w:rPr/>
              <w:t>Priority</w:t>
            </w:r>
          </w:p>
        </w:tc>
      </w:tr>
      <w:tr>
        <w:trPr/>
        <w:tc>
          <w:tcPr>
            <w:tcW w:w="687" w:type="dxa"/>
            <w:tcBorders/>
            <w:vAlign w:val="center"/>
          </w:tcPr>
          <w:p>
            <w:pPr>
              <w:pStyle w:val="TableContents"/>
              <w:bidi w:val="0"/>
              <w:spacing w:before="0" w:after="283"/>
              <w:jc w:val="left"/>
              <w:rPr/>
            </w:pPr>
            <w:r>
              <w:rPr/>
              <w:t>NFR-01</w:t>
            </w:r>
          </w:p>
        </w:tc>
        <w:tc>
          <w:tcPr>
            <w:tcW w:w="9766" w:type="dxa"/>
            <w:tcBorders/>
            <w:vAlign w:val="center"/>
          </w:tcPr>
          <w:p>
            <w:pPr>
              <w:pStyle w:val="TableContents"/>
              <w:bidi w:val="0"/>
              <w:spacing w:before="0" w:after="283"/>
              <w:jc w:val="left"/>
              <w:rPr/>
            </w:pPr>
            <w:r>
              <w:rPr/>
              <w:t>Common page loads and form submissions should complete within 2–3 seconds under normal load (proposed target), inclusive of any API Gateway routing overhead.</w:t>
            </w:r>
          </w:p>
        </w:tc>
        <w:tc>
          <w:tcPr>
            <w:tcW w:w="886" w:type="dxa"/>
            <w:tcBorders/>
            <w:vAlign w:val="center"/>
          </w:tcPr>
          <w:p>
            <w:pPr>
              <w:pStyle w:val="TableContents"/>
              <w:bidi w:val="0"/>
              <w:spacing w:before="0" w:after="283"/>
              <w:jc w:val="left"/>
              <w:rPr/>
            </w:pPr>
            <w:r>
              <w:rPr/>
              <w:t>Should</w:t>
            </w:r>
          </w:p>
        </w:tc>
      </w:tr>
      <w:tr>
        <w:trPr/>
        <w:tc>
          <w:tcPr>
            <w:tcW w:w="687" w:type="dxa"/>
            <w:tcBorders/>
            <w:vAlign w:val="center"/>
          </w:tcPr>
          <w:p>
            <w:pPr>
              <w:pStyle w:val="TableContents"/>
              <w:bidi w:val="0"/>
              <w:spacing w:before="0" w:after="283"/>
              <w:jc w:val="left"/>
              <w:rPr/>
            </w:pPr>
            <w:r>
              <w:rPr/>
              <w:t>NFR-02</w:t>
            </w:r>
          </w:p>
        </w:tc>
        <w:tc>
          <w:tcPr>
            <w:tcW w:w="9766" w:type="dxa"/>
            <w:tcBorders/>
            <w:vAlign w:val="center"/>
          </w:tcPr>
          <w:p>
            <w:pPr>
              <w:pStyle w:val="TableContents"/>
              <w:bidi w:val="0"/>
              <w:spacing w:before="0" w:after="283"/>
              <w:jc w:val="left"/>
              <w:rPr/>
            </w:pPr>
            <w:r>
              <w:rPr/>
              <w:t>Dashboard summary figures should load within 3 seconds, served from the Audit &amp; Reporting Service's read models rather than live cross-service queries.</w:t>
            </w:r>
          </w:p>
        </w:tc>
        <w:tc>
          <w:tcPr>
            <w:tcW w:w="886" w:type="dxa"/>
            <w:tcBorders/>
            <w:vAlign w:val="center"/>
          </w:tcPr>
          <w:p>
            <w:pPr>
              <w:pStyle w:val="TableContents"/>
              <w:bidi w:val="0"/>
              <w:spacing w:before="0" w:after="283"/>
              <w:jc w:val="left"/>
              <w:rPr/>
            </w:pPr>
            <w:r>
              <w:rPr/>
              <w:t>Should</w:t>
            </w:r>
          </w:p>
        </w:tc>
      </w:tr>
    </w:tbl>
    <w:p>
      <w:pPr>
        <w:pStyle w:val="Heading3"/>
        <w:bidi w:val="0"/>
        <w:jc w:val="left"/>
        <w:rPr/>
      </w:pPr>
      <w:r>
        <w:rPr/>
        <w:t>5.2 Scalability</w:t>
      </w:r>
    </w:p>
    <w:tbl>
      <w:tblPr>
        <w:tblW w:w="11339" w:type="dxa"/>
        <w:jc w:val="left"/>
        <w:tblInd w:w="28" w:type="dxa"/>
        <w:tblLayout w:type="fixed"/>
        <w:tblCellMar>
          <w:top w:w="28" w:type="dxa"/>
          <w:left w:w="28" w:type="dxa"/>
          <w:bottom w:w="28" w:type="dxa"/>
          <w:right w:w="28" w:type="dxa"/>
        </w:tblCellMar>
      </w:tblPr>
      <w:tblGrid>
        <w:gridCol w:w="648"/>
        <w:gridCol w:w="9805"/>
        <w:gridCol w:w="886"/>
      </w:tblGrid>
      <w:tr>
        <w:trPr/>
        <w:tc>
          <w:tcPr>
            <w:tcW w:w="648" w:type="dxa"/>
            <w:tcBorders/>
            <w:vAlign w:val="center"/>
          </w:tcPr>
          <w:p>
            <w:pPr>
              <w:pStyle w:val="TableHeading"/>
              <w:suppressLineNumbers/>
              <w:shd w:fill="1F3864" w:val="clear"/>
              <w:bidi w:val="0"/>
              <w:spacing w:before="0" w:after="283"/>
              <w:jc w:val="left"/>
              <w:rPr/>
            </w:pPr>
            <w:r>
              <w:rPr/>
              <w:t>ID</w:t>
            </w:r>
          </w:p>
        </w:tc>
        <w:tc>
          <w:tcPr>
            <w:tcW w:w="9805" w:type="dxa"/>
            <w:tcBorders/>
            <w:vAlign w:val="center"/>
          </w:tcPr>
          <w:p>
            <w:pPr>
              <w:pStyle w:val="TableHeading"/>
              <w:suppressLineNumbers/>
              <w:shd w:fill="1F3864" w:val="clear"/>
              <w:bidi w:val="0"/>
              <w:spacing w:before="0" w:after="283"/>
              <w:jc w:val="left"/>
              <w:rPr/>
            </w:pPr>
            <w:r>
              <w:rPr/>
              <w:t>Requirement</w:t>
            </w:r>
          </w:p>
        </w:tc>
        <w:tc>
          <w:tcPr>
            <w:tcW w:w="886" w:type="dxa"/>
            <w:tcBorders/>
            <w:vAlign w:val="center"/>
          </w:tcPr>
          <w:p>
            <w:pPr>
              <w:pStyle w:val="TableHeading"/>
              <w:suppressLineNumbers/>
              <w:shd w:fill="1F3864" w:val="clear"/>
              <w:bidi w:val="0"/>
              <w:spacing w:before="0" w:after="283"/>
              <w:jc w:val="left"/>
              <w:rPr/>
            </w:pPr>
            <w:r>
              <w:rPr/>
              <w:t>Priority</w:t>
            </w:r>
          </w:p>
        </w:tc>
      </w:tr>
      <w:tr>
        <w:trPr/>
        <w:tc>
          <w:tcPr>
            <w:tcW w:w="648" w:type="dxa"/>
            <w:tcBorders/>
            <w:vAlign w:val="center"/>
          </w:tcPr>
          <w:p>
            <w:pPr>
              <w:pStyle w:val="TableContents"/>
              <w:bidi w:val="0"/>
              <w:spacing w:before="0" w:after="283"/>
              <w:jc w:val="left"/>
              <w:rPr/>
            </w:pPr>
            <w:r>
              <w:rPr/>
              <w:t>NFR-03</w:t>
            </w:r>
          </w:p>
        </w:tc>
        <w:tc>
          <w:tcPr>
            <w:tcW w:w="9805" w:type="dxa"/>
            <w:tcBorders/>
            <w:vAlign w:val="center"/>
          </w:tcPr>
          <w:p>
            <w:pPr>
              <w:pStyle w:val="TableContents"/>
              <w:bidi w:val="0"/>
              <w:spacing w:before="0" w:after="283"/>
              <w:jc w:val="left"/>
              <w:rPr/>
            </w:pPr>
            <w:r>
              <w:rPr/>
              <w:t>The system shall support the addition of new companies, branches and users without requiring architectural changes.</w:t>
            </w:r>
          </w:p>
        </w:tc>
        <w:tc>
          <w:tcPr>
            <w:tcW w:w="886" w:type="dxa"/>
            <w:tcBorders/>
            <w:vAlign w:val="center"/>
          </w:tcPr>
          <w:p>
            <w:pPr>
              <w:pStyle w:val="TableContents"/>
              <w:bidi w:val="0"/>
              <w:spacing w:before="0" w:after="283"/>
              <w:jc w:val="left"/>
              <w:rPr/>
            </w:pPr>
            <w:r>
              <w:rPr/>
              <w:t>Must</w:t>
            </w:r>
          </w:p>
        </w:tc>
      </w:tr>
      <w:tr>
        <w:trPr/>
        <w:tc>
          <w:tcPr>
            <w:tcW w:w="648" w:type="dxa"/>
            <w:tcBorders/>
            <w:vAlign w:val="center"/>
          </w:tcPr>
          <w:p>
            <w:pPr>
              <w:pStyle w:val="TableContents"/>
              <w:bidi w:val="0"/>
              <w:spacing w:before="0" w:after="283"/>
              <w:jc w:val="left"/>
              <w:rPr/>
            </w:pPr>
            <w:r>
              <w:rPr/>
              <w:t>NFR-04</w:t>
            </w:r>
          </w:p>
        </w:tc>
        <w:tc>
          <w:tcPr>
            <w:tcW w:w="9805" w:type="dxa"/>
            <w:tcBorders/>
            <w:vAlign w:val="center"/>
          </w:tcPr>
          <w:p>
            <w:pPr>
              <w:pStyle w:val="TableContents"/>
              <w:bidi w:val="0"/>
              <w:spacing w:before="0" w:after="283"/>
              <w:jc w:val="left"/>
              <w:rPr/>
            </w:pPr>
            <w:r>
              <w:rPr/>
              <w:t>Each Phase 1 service shall be independently deployable and independently scalable (per 07_System Design Document's microservices architecture), so that load on one service (e.g. Accounting) does not require scaling the others.</w:t>
            </w:r>
          </w:p>
        </w:tc>
        <w:tc>
          <w:tcPr>
            <w:tcW w:w="886" w:type="dxa"/>
            <w:tcBorders/>
            <w:vAlign w:val="center"/>
          </w:tcPr>
          <w:p>
            <w:pPr>
              <w:pStyle w:val="TableContents"/>
              <w:bidi w:val="0"/>
              <w:spacing w:before="0" w:after="283"/>
              <w:jc w:val="left"/>
              <w:rPr/>
            </w:pPr>
            <w:r>
              <w:rPr/>
              <w:t>Should</w:t>
            </w:r>
          </w:p>
        </w:tc>
      </w:tr>
    </w:tbl>
    <w:p>
      <w:pPr>
        <w:pStyle w:val="Heading3"/>
        <w:bidi w:val="0"/>
        <w:jc w:val="left"/>
        <w:rPr/>
      </w:pPr>
      <w:r>
        <w:rPr/>
        <w:t>5.3 Reliability and Availability</w:t>
      </w:r>
    </w:p>
    <w:tbl>
      <w:tblPr>
        <w:tblW w:w="11339" w:type="dxa"/>
        <w:jc w:val="left"/>
        <w:tblInd w:w="28" w:type="dxa"/>
        <w:tblLayout w:type="fixed"/>
        <w:tblCellMar>
          <w:top w:w="28" w:type="dxa"/>
          <w:left w:w="28" w:type="dxa"/>
          <w:bottom w:w="28" w:type="dxa"/>
          <w:right w:w="28" w:type="dxa"/>
        </w:tblCellMar>
      </w:tblPr>
      <w:tblGrid>
        <w:gridCol w:w="663"/>
        <w:gridCol w:w="9790"/>
        <w:gridCol w:w="886"/>
      </w:tblGrid>
      <w:tr>
        <w:trPr/>
        <w:tc>
          <w:tcPr>
            <w:tcW w:w="663" w:type="dxa"/>
            <w:tcBorders/>
            <w:vAlign w:val="center"/>
          </w:tcPr>
          <w:p>
            <w:pPr>
              <w:pStyle w:val="TableHeading"/>
              <w:suppressLineNumbers/>
              <w:shd w:fill="1F3864" w:val="clear"/>
              <w:bidi w:val="0"/>
              <w:spacing w:before="0" w:after="283"/>
              <w:jc w:val="left"/>
              <w:rPr/>
            </w:pPr>
            <w:r>
              <w:rPr/>
              <w:t>ID</w:t>
            </w:r>
          </w:p>
        </w:tc>
        <w:tc>
          <w:tcPr>
            <w:tcW w:w="9790" w:type="dxa"/>
            <w:tcBorders/>
            <w:vAlign w:val="center"/>
          </w:tcPr>
          <w:p>
            <w:pPr>
              <w:pStyle w:val="TableHeading"/>
              <w:suppressLineNumbers/>
              <w:shd w:fill="1F3864" w:val="clear"/>
              <w:bidi w:val="0"/>
              <w:spacing w:before="0" w:after="283"/>
              <w:jc w:val="left"/>
              <w:rPr/>
            </w:pPr>
            <w:r>
              <w:rPr/>
              <w:t>Requirement</w:t>
            </w:r>
          </w:p>
        </w:tc>
        <w:tc>
          <w:tcPr>
            <w:tcW w:w="886" w:type="dxa"/>
            <w:tcBorders/>
            <w:vAlign w:val="center"/>
          </w:tcPr>
          <w:p>
            <w:pPr>
              <w:pStyle w:val="TableHeading"/>
              <w:suppressLineNumbers/>
              <w:shd w:fill="1F3864" w:val="clear"/>
              <w:bidi w:val="0"/>
              <w:spacing w:before="0" w:after="283"/>
              <w:jc w:val="left"/>
              <w:rPr/>
            </w:pPr>
            <w:r>
              <w:rPr/>
              <w:t>Priority</w:t>
            </w:r>
          </w:p>
        </w:tc>
      </w:tr>
      <w:tr>
        <w:trPr/>
        <w:tc>
          <w:tcPr>
            <w:tcW w:w="663" w:type="dxa"/>
            <w:tcBorders/>
            <w:vAlign w:val="center"/>
          </w:tcPr>
          <w:p>
            <w:pPr>
              <w:pStyle w:val="TableContents"/>
              <w:bidi w:val="0"/>
              <w:spacing w:before="0" w:after="283"/>
              <w:jc w:val="left"/>
              <w:rPr/>
            </w:pPr>
            <w:r>
              <w:rPr/>
              <w:t>NFR-05</w:t>
            </w:r>
          </w:p>
        </w:tc>
        <w:tc>
          <w:tcPr>
            <w:tcW w:w="9790" w:type="dxa"/>
            <w:tcBorders/>
            <w:vAlign w:val="center"/>
          </w:tcPr>
          <w:p>
            <w:pPr>
              <w:pStyle w:val="TableContents"/>
              <w:bidi w:val="0"/>
              <w:spacing w:before="0" w:after="283"/>
              <w:jc w:val="left"/>
              <w:rPr/>
            </w:pPr>
            <w:r>
              <w:rPr/>
              <w:t>The system should target availability during Group business hours consistent with a small-business production system (a specific uptime SLA should be agreed with the hosting/development partner).</w:t>
            </w:r>
          </w:p>
        </w:tc>
        <w:tc>
          <w:tcPr>
            <w:tcW w:w="886" w:type="dxa"/>
            <w:tcBorders/>
            <w:vAlign w:val="center"/>
          </w:tcPr>
          <w:p>
            <w:pPr>
              <w:pStyle w:val="TableContents"/>
              <w:bidi w:val="0"/>
              <w:spacing w:before="0" w:after="283"/>
              <w:jc w:val="left"/>
              <w:rPr/>
            </w:pPr>
            <w:r>
              <w:rPr/>
              <w:t>Should</w:t>
            </w:r>
          </w:p>
        </w:tc>
      </w:tr>
      <w:tr>
        <w:trPr/>
        <w:tc>
          <w:tcPr>
            <w:tcW w:w="663" w:type="dxa"/>
            <w:tcBorders/>
            <w:vAlign w:val="center"/>
          </w:tcPr>
          <w:p>
            <w:pPr>
              <w:pStyle w:val="TableContents"/>
              <w:bidi w:val="0"/>
              <w:spacing w:before="0" w:after="283"/>
              <w:jc w:val="left"/>
              <w:rPr/>
            </w:pPr>
            <w:r>
              <w:rPr/>
              <w:t>NFR-06</w:t>
            </w:r>
          </w:p>
        </w:tc>
        <w:tc>
          <w:tcPr>
            <w:tcW w:w="9790" w:type="dxa"/>
            <w:tcBorders/>
            <w:vAlign w:val="center"/>
          </w:tcPr>
          <w:p>
            <w:pPr>
              <w:pStyle w:val="TableContents"/>
              <w:bidi w:val="0"/>
              <w:spacing w:before="0" w:after="283"/>
              <w:jc w:val="left"/>
              <w:rPr/>
            </w:pPr>
            <w:r>
              <w:rPr/>
              <w:t>The system shall perform automated daily backups of every service's database.</w:t>
            </w:r>
          </w:p>
        </w:tc>
        <w:tc>
          <w:tcPr>
            <w:tcW w:w="886" w:type="dxa"/>
            <w:tcBorders/>
            <w:vAlign w:val="center"/>
          </w:tcPr>
          <w:p>
            <w:pPr>
              <w:pStyle w:val="TableContents"/>
              <w:bidi w:val="0"/>
              <w:spacing w:before="0" w:after="283"/>
              <w:jc w:val="left"/>
              <w:rPr/>
            </w:pPr>
            <w:r>
              <w:rPr/>
              <w:t>Must</w:t>
            </w:r>
          </w:p>
        </w:tc>
      </w:tr>
      <w:tr>
        <w:trPr/>
        <w:tc>
          <w:tcPr>
            <w:tcW w:w="663" w:type="dxa"/>
            <w:tcBorders/>
            <w:vAlign w:val="center"/>
          </w:tcPr>
          <w:p>
            <w:pPr>
              <w:pStyle w:val="TableContents"/>
              <w:bidi w:val="0"/>
              <w:spacing w:before="0" w:after="283"/>
              <w:jc w:val="left"/>
              <w:rPr/>
            </w:pPr>
            <w:r>
              <w:rPr/>
              <w:t>NFR-07</w:t>
            </w:r>
          </w:p>
        </w:tc>
        <w:tc>
          <w:tcPr>
            <w:tcW w:w="9790" w:type="dxa"/>
            <w:tcBorders/>
            <w:vAlign w:val="center"/>
          </w:tcPr>
          <w:p>
            <w:pPr>
              <w:pStyle w:val="TableContents"/>
              <w:bidi w:val="0"/>
              <w:spacing w:before="0" w:after="283"/>
              <w:jc w:val="left"/>
              <w:rPr/>
            </w:pPr>
            <w:r>
              <w:rPr/>
              <w:t>Backup restoration shall be tested, for each service, at least once before Phase 1 go-live.</w:t>
            </w:r>
          </w:p>
        </w:tc>
        <w:tc>
          <w:tcPr>
            <w:tcW w:w="886" w:type="dxa"/>
            <w:tcBorders/>
            <w:vAlign w:val="center"/>
          </w:tcPr>
          <w:p>
            <w:pPr>
              <w:pStyle w:val="TableContents"/>
              <w:bidi w:val="0"/>
              <w:spacing w:before="0" w:after="283"/>
              <w:jc w:val="left"/>
              <w:rPr/>
            </w:pPr>
            <w:r>
              <w:rPr/>
              <w:t>Must</w:t>
            </w:r>
          </w:p>
        </w:tc>
      </w:tr>
    </w:tbl>
    <w:p>
      <w:pPr>
        <w:pStyle w:val="Heading3"/>
        <w:bidi w:val="0"/>
        <w:jc w:val="left"/>
        <w:rPr/>
      </w:pPr>
      <w:r>
        <w:rPr/>
        <w:t>5.4 Security</w:t>
      </w:r>
    </w:p>
    <w:tbl>
      <w:tblPr>
        <w:tblW w:w="11339" w:type="dxa"/>
        <w:jc w:val="left"/>
        <w:tblInd w:w="28" w:type="dxa"/>
        <w:tblLayout w:type="fixed"/>
        <w:tblCellMar>
          <w:top w:w="28" w:type="dxa"/>
          <w:left w:w="28" w:type="dxa"/>
          <w:bottom w:w="28" w:type="dxa"/>
          <w:right w:w="28" w:type="dxa"/>
        </w:tblCellMar>
      </w:tblPr>
      <w:tblGrid>
        <w:gridCol w:w="743"/>
        <w:gridCol w:w="9710"/>
        <w:gridCol w:w="886"/>
      </w:tblGrid>
      <w:tr>
        <w:trPr/>
        <w:tc>
          <w:tcPr>
            <w:tcW w:w="743" w:type="dxa"/>
            <w:tcBorders/>
            <w:vAlign w:val="center"/>
          </w:tcPr>
          <w:p>
            <w:pPr>
              <w:pStyle w:val="TableHeading"/>
              <w:suppressLineNumbers/>
              <w:shd w:fill="1F3864" w:val="clear"/>
              <w:bidi w:val="0"/>
              <w:spacing w:before="0" w:after="283"/>
              <w:jc w:val="left"/>
              <w:rPr/>
            </w:pPr>
            <w:r>
              <w:rPr/>
              <w:t>ID</w:t>
            </w:r>
          </w:p>
        </w:tc>
        <w:tc>
          <w:tcPr>
            <w:tcW w:w="9710" w:type="dxa"/>
            <w:tcBorders/>
            <w:vAlign w:val="center"/>
          </w:tcPr>
          <w:p>
            <w:pPr>
              <w:pStyle w:val="TableHeading"/>
              <w:suppressLineNumbers/>
              <w:shd w:fill="1F3864" w:val="clear"/>
              <w:bidi w:val="0"/>
              <w:spacing w:before="0" w:after="283"/>
              <w:jc w:val="left"/>
              <w:rPr/>
            </w:pPr>
            <w:r>
              <w:rPr/>
              <w:t>Requirement</w:t>
            </w:r>
          </w:p>
        </w:tc>
        <w:tc>
          <w:tcPr>
            <w:tcW w:w="886" w:type="dxa"/>
            <w:tcBorders/>
            <w:vAlign w:val="center"/>
          </w:tcPr>
          <w:p>
            <w:pPr>
              <w:pStyle w:val="TableHeading"/>
              <w:suppressLineNumbers/>
              <w:shd w:fill="1F3864" w:val="clear"/>
              <w:bidi w:val="0"/>
              <w:spacing w:before="0" w:after="283"/>
              <w:jc w:val="left"/>
              <w:rPr/>
            </w:pPr>
            <w:r>
              <w:rPr/>
              <w:t>Priority</w:t>
            </w:r>
          </w:p>
        </w:tc>
      </w:tr>
      <w:tr>
        <w:trPr/>
        <w:tc>
          <w:tcPr>
            <w:tcW w:w="743" w:type="dxa"/>
            <w:tcBorders/>
            <w:vAlign w:val="center"/>
          </w:tcPr>
          <w:p>
            <w:pPr>
              <w:pStyle w:val="TableContents"/>
              <w:bidi w:val="0"/>
              <w:spacing w:before="0" w:after="283"/>
              <w:jc w:val="left"/>
              <w:rPr/>
            </w:pPr>
            <w:r>
              <w:rPr/>
              <w:t>NFR-08</w:t>
            </w:r>
          </w:p>
        </w:tc>
        <w:tc>
          <w:tcPr>
            <w:tcW w:w="9710" w:type="dxa"/>
            <w:tcBorders/>
            <w:vAlign w:val="center"/>
          </w:tcPr>
          <w:p>
            <w:pPr>
              <w:pStyle w:val="TableContents"/>
              <w:bidi w:val="0"/>
              <w:spacing w:before="0" w:after="283"/>
              <w:jc w:val="left"/>
              <w:rPr/>
            </w:pPr>
            <w:r>
              <w:rPr/>
              <w:t>All traffic between client and server, and between the API Gateway and each service, shall be encrypted using HTTPS/TLS.</w:t>
            </w:r>
          </w:p>
        </w:tc>
        <w:tc>
          <w:tcPr>
            <w:tcW w:w="886" w:type="dxa"/>
            <w:tcBorders/>
            <w:vAlign w:val="center"/>
          </w:tcPr>
          <w:p>
            <w:pPr>
              <w:pStyle w:val="TableContents"/>
              <w:bidi w:val="0"/>
              <w:spacing w:before="0" w:after="283"/>
              <w:jc w:val="left"/>
              <w:rPr/>
            </w:pPr>
            <w:r>
              <w:rPr/>
              <w:t>Must</w:t>
            </w:r>
          </w:p>
        </w:tc>
      </w:tr>
      <w:tr>
        <w:trPr/>
        <w:tc>
          <w:tcPr>
            <w:tcW w:w="743" w:type="dxa"/>
            <w:tcBorders/>
            <w:vAlign w:val="center"/>
          </w:tcPr>
          <w:p>
            <w:pPr>
              <w:pStyle w:val="TableContents"/>
              <w:bidi w:val="0"/>
              <w:spacing w:before="0" w:after="283"/>
              <w:jc w:val="left"/>
              <w:rPr/>
            </w:pPr>
            <w:r>
              <w:rPr/>
              <w:t>NFR-09</w:t>
            </w:r>
          </w:p>
        </w:tc>
        <w:tc>
          <w:tcPr>
            <w:tcW w:w="9710" w:type="dxa"/>
            <w:tcBorders/>
            <w:vAlign w:val="center"/>
          </w:tcPr>
          <w:p>
            <w:pPr>
              <w:pStyle w:val="TableContents"/>
              <w:bidi w:val="0"/>
              <w:spacing w:before="0" w:after="283"/>
              <w:jc w:val="left"/>
              <w:rPr/>
            </w:pPr>
            <w:r>
              <w:rPr/>
              <w:t>Passwords shall be stored using a secure, industry-standard hashing algorithm, never in plain text.</w:t>
            </w:r>
          </w:p>
        </w:tc>
        <w:tc>
          <w:tcPr>
            <w:tcW w:w="886" w:type="dxa"/>
            <w:tcBorders/>
            <w:vAlign w:val="center"/>
          </w:tcPr>
          <w:p>
            <w:pPr>
              <w:pStyle w:val="TableContents"/>
              <w:bidi w:val="0"/>
              <w:spacing w:before="0" w:after="283"/>
              <w:jc w:val="left"/>
              <w:rPr/>
            </w:pPr>
            <w:r>
              <w:rPr/>
              <w:t>Must</w:t>
            </w:r>
          </w:p>
        </w:tc>
      </w:tr>
    </w:tbl>
    <w:p>
      <w:pPr>
        <w:pStyle w:val="Heading3"/>
        <w:bidi w:val="0"/>
        <w:jc w:val="left"/>
        <w:rPr/>
      </w:pPr>
      <w:r>
        <w:rPr/>
        <w:t>5.5 Maintainability</w:t>
      </w:r>
    </w:p>
    <w:tbl>
      <w:tblPr>
        <w:tblW w:w="11339" w:type="dxa"/>
        <w:jc w:val="left"/>
        <w:tblInd w:w="28" w:type="dxa"/>
        <w:tblLayout w:type="fixed"/>
        <w:tblCellMar>
          <w:top w:w="28" w:type="dxa"/>
          <w:left w:w="28" w:type="dxa"/>
          <w:bottom w:w="28" w:type="dxa"/>
          <w:right w:w="28" w:type="dxa"/>
        </w:tblCellMar>
      </w:tblPr>
      <w:tblGrid>
        <w:gridCol w:w="681"/>
        <w:gridCol w:w="9772"/>
        <w:gridCol w:w="886"/>
      </w:tblGrid>
      <w:tr>
        <w:trPr/>
        <w:tc>
          <w:tcPr>
            <w:tcW w:w="681" w:type="dxa"/>
            <w:tcBorders/>
            <w:vAlign w:val="center"/>
          </w:tcPr>
          <w:p>
            <w:pPr>
              <w:pStyle w:val="TableHeading"/>
              <w:suppressLineNumbers/>
              <w:shd w:fill="1F3864" w:val="clear"/>
              <w:bidi w:val="0"/>
              <w:spacing w:before="0" w:after="283"/>
              <w:jc w:val="left"/>
              <w:rPr/>
            </w:pPr>
            <w:r>
              <w:rPr/>
              <w:t>ID</w:t>
            </w:r>
          </w:p>
        </w:tc>
        <w:tc>
          <w:tcPr>
            <w:tcW w:w="9772" w:type="dxa"/>
            <w:tcBorders/>
            <w:vAlign w:val="center"/>
          </w:tcPr>
          <w:p>
            <w:pPr>
              <w:pStyle w:val="TableHeading"/>
              <w:suppressLineNumbers/>
              <w:shd w:fill="1F3864" w:val="clear"/>
              <w:bidi w:val="0"/>
              <w:spacing w:before="0" w:after="283"/>
              <w:jc w:val="left"/>
              <w:rPr/>
            </w:pPr>
            <w:r>
              <w:rPr/>
              <w:t>Requirement</w:t>
            </w:r>
          </w:p>
        </w:tc>
        <w:tc>
          <w:tcPr>
            <w:tcW w:w="886" w:type="dxa"/>
            <w:tcBorders/>
            <w:vAlign w:val="center"/>
          </w:tcPr>
          <w:p>
            <w:pPr>
              <w:pStyle w:val="TableHeading"/>
              <w:suppressLineNumbers/>
              <w:shd w:fill="1F3864" w:val="clear"/>
              <w:bidi w:val="0"/>
              <w:spacing w:before="0" w:after="283"/>
              <w:jc w:val="left"/>
              <w:rPr/>
            </w:pPr>
            <w:r>
              <w:rPr/>
              <w:t>Priority</w:t>
            </w:r>
          </w:p>
        </w:tc>
      </w:tr>
      <w:tr>
        <w:trPr/>
        <w:tc>
          <w:tcPr>
            <w:tcW w:w="681" w:type="dxa"/>
            <w:tcBorders/>
            <w:vAlign w:val="center"/>
          </w:tcPr>
          <w:p>
            <w:pPr>
              <w:pStyle w:val="TableContents"/>
              <w:bidi w:val="0"/>
              <w:spacing w:before="0" w:after="283"/>
              <w:jc w:val="left"/>
              <w:rPr/>
            </w:pPr>
            <w:r>
              <w:rPr/>
              <w:t>NFR-10</w:t>
            </w:r>
          </w:p>
        </w:tc>
        <w:tc>
          <w:tcPr>
            <w:tcW w:w="9772" w:type="dxa"/>
            <w:tcBorders/>
            <w:vAlign w:val="center"/>
          </w:tcPr>
          <w:p>
            <w:pPr>
              <w:pStyle w:val="TableContents"/>
              <w:bidi w:val="0"/>
              <w:spacing w:before="0" w:after="283"/>
              <w:jc w:val="left"/>
              <w:rPr/>
            </w:pPr>
            <w:r>
              <w:rPr/>
              <w:t>Code shall follow a documented coding standard, applied consistently across all services, agreed with the development partner before Phase 1 development begins.</w:t>
            </w:r>
          </w:p>
        </w:tc>
        <w:tc>
          <w:tcPr>
            <w:tcW w:w="886" w:type="dxa"/>
            <w:tcBorders/>
            <w:vAlign w:val="center"/>
          </w:tcPr>
          <w:p>
            <w:pPr>
              <w:pStyle w:val="TableContents"/>
              <w:bidi w:val="0"/>
              <w:spacing w:before="0" w:after="283"/>
              <w:jc w:val="left"/>
              <w:rPr/>
            </w:pPr>
            <w:r>
              <w:rPr/>
              <w:t>Should</w:t>
            </w:r>
          </w:p>
        </w:tc>
      </w:tr>
      <w:tr>
        <w:trPr/>
        <w:tc>
          <w:tcPr>
            <w:tcW w:w="681" w:type="dxa"/>
            <w:tcBorders/>
            <w:vAlign w:val="center"/>
          </w:tcPr>
          <w:p>
            <w:pPr>
              <w:pStyle w:val="TableContents"/>
              <w:bidi w:val="0"/>
              <w:spacing w:before="0" w:after="283"/>
              <w:jc w:val="left"/>
              <w:rPr/>
            </w:pPr>
            <w:r>
              <w:rPr/>
              <w:t>NFR-11</w:t>
            </w:r>
          </w:p>
        </w:tc>
        <w:tc>
          <w:tcPr>
            <w:tcW w:w="9772" w:type="dxa"/>
            <w:tcBorders/>
            <w:vAlign w:val="center"/>
          </w:tcPr>
          <w:p>
            <w:pPr>
              <w:pStyle w:val="TableContents"/>
              <w:bidi w:val="0"/>
              <w:spacing w:before="0" w:after="283"/>
              <w:jc w:val="left"/>
              <w:rPr/>
            </w:pPr>
            <w:r>
              <w:rPr/>
              <w:t>Key modules shall have automated test coverage sufficient to safely support Phase 2+ changes, including contract tests between services that communicate via Kafka events.</w:t>
            </w:r>
          </w:p>
        </w:tc>
        <w:tc>
          <w:tcPr>
            <w:tcW w:w="886" w:type="dxa"/>
            <w:tcBorders/>
            <w:vAlign w:val="center"/>
          </w:tcPr>
          <w:p>
            <w:pPr>
              <w:pStyle w:val="TableContents"/>
              <w:bidi w:val="0"/>
              <w:spacing w:before="0" w:after="283"/>
              <w:jc w:val="left"/>
              <w:rPr/>
            </w:pPr>
            <w:r>
              <w:rPr/>
              <w:t>Should</w:t>
            </w:r>
          </w:p>
        </w:tc>
      </w:tr>
    </w:tbl>
    <w:p>
      <w:pPr>
        <w:pStyle w:val="Heading3"/>
        <w:bidi w:val="0"/>
        <w:jc w:val="left"/>
        <w:rPr/>
      </w:pPr>
      <w:r>
        <w:rPr/>
        <w:t>5.6 Usability and Accessibility</w:t>
      </w:r>
    </w:p>
    <w:tbl>
      <w:tblPr>
        <w:tblW w:w="11339" w:type="dxa"/>
        <w:jc w:val="left"/>
        <w:tblInd w:w="28" w:type="dxa"/>
        <w:tblLayout w:type="fixed"/>
        <w:tblCellMar>
          <w:top w:w="28" w:type="dxa"/>
          <w:left w:w="28" w:type="dxa"/>
          <w:bottom w:w="28" w:type="dxa"/>
          <w:right w:w="28" w:type="dxa"/>
        </w:tblCellMar>
      </w:tblPr>
      <w:tblGrid>
        <w:gridCol w:w="693"/>
        <w:gridCol w:w="9760"/>
        <w:gridCol w:w="886"/>
      </w:tblGrid>
      <w:tr>
        <w:trPr/>
        <w:tc>
          <w:tcPr>
            <w:tcW w:w="693" w:type="dxa"/>
            <w:tcBorders/>
            <w:vAlign w:val="center"/>
          </w:tcPr>
          <w:p>
            <w:pPr>
              <w:pStyle w:val="TableHeading"/>
              <w:suppressLineNumbers/>
              <w:shd w:fill="1F3864" w:val="clear"/>
              <w:bidi w:val="0"/>
              <w:spacing w:before="0" w:after="283"/>
              <w:jc w:val="left"/>
              <w:rPr/>
            </w:pPr>
            <w:r>
              <w:rPr/>
              <w:t>ID</w:t>
            </w:r>
          </w:p>
        </w:tc>
        <w:tc>
          <w:tcPr>
            <w:tcW w:w="9760" w:type="dxa"/>
            <w:tcBorders/>
            <w:vAlign w:val="center"/>
          </w:tcPr>
          <w:p>
            <w:pPr>
              <w:pStyle w:val="TableHeading"/>
              <w:suppressLineNumbers/>
              <w:shd w:fill="1F3864" w:val="clear"/>
              <w:bidi w:val="0"/>
              <w:spacing w:before="0" w:after="283"/>
              <w:jc w:val="left"/>
              <w:rPr/>
            </w:pPr>
            <w:r>
              <w:rPr/>
              <w:t>Requirement</w:t>
            </w:r>
          </w:p>
        </w:tc>
        <w:tc>
          <w:tcPr>
            <w:tcW w:w="886" w:type="dxa"/>
            <w:tcBorders/>
            <w:vAlign w:val="center"/>
          </w:tcPr>
          <w:p>
            <w:pPr>
              <w:pStyle w:val="TableHeading"/>
              <w:suppressLineNumbers/>
              <w:shd w:fill="1F3864" w:val="clear"/>
              <w:bidi w:val="0"/>
              <w:spacing w:before="0" w:after="283"/>
              <w:jc w:val="left"/>
              <w:rPr/>
            </w:pPr>
            <w:r>
              <w:rPr/>
              <w:t>Priority</w:t>
            </w:r>
          </w:p>
        </w:tc>
      </w:tr>
      <w:tr>
        <w:trPr/>
        <w:tc>
          <w:tcPr>
            <w:tcW w:w="693" w:type="dxa"/>
            <w:tcBorders/>
            <w:vAlign w:val="center"/>
          </w:tcPr>
          <w:p>
            <w:pPr>
              <w:pStyle w:val="TableContents"/>
              <w:bidi w:val="0"/>
              <w:spacing w:before="0" w:after="283"/>
              <w:jc w:val="left"/>
              <w:rPr/>
            </w:pPr>
            <w:r>
              <w:rPr/>
              <w:t>NFR-12</w:t>
            </w:r>
          </w:p>
        </w:tc>
        <w:tc>
          <w:tcPr>
            <w:tcW w:w="9760" w:type="dxa"/>
            <w:tcBorders/>
            <w:vAlign w:val="center"/>
          </w:tcPr>
          <w:p>
            <w:pPr>
              <w:pStyle w:val="TableContents"/>
              <w:bidi w:val="0"/>
              <w:spacing w:before="0" w:after="283"/>
              <w:jc w:val="left"/>
              <w:rPr/>
            </w:pPr>
            <w:r>
              <w:rPr/>
              <w:t>The interface shall be usable on desktop and tablet browsers at Phase 1 launch; full mobile optimization is a Phase 5 deliverable.</w:t>
            </w:r>
          </w:p>
        </w:tc>
        <w:tc>
          <w:tcPr>
            <w:tcW w:w="886" w:type="dxa"/>
            <w:tcBorders/>
            <w:vAlign w:val="center"/>
          </w:tcPr>
          <w:p>
            <w:pPr>
              <w:pStyle w:val="TableContents"/>
              <w:bidi w:val="0"/>
              <w:spacing w:before="0" w:after="283"/>
              <w:jc w:val="left"/>
              <w:rPr/>
            </w:pPr>
            <w:r>
              <w:rPr/>
              <w:t>Must</w:t>
            </w:r>
          </w:p>
        </w:tc>
      </w:tr>
      <w:tr>
        <w:trPr/>
        <w:tc>
          <w:tcPr>
            <w:tcW w:w="693" w:type="dxa"/>
            <w:tcBorders/>
            <w:vAlign w:val="center"/>
          </w:tcPr>
          <w:p>
            <w:pPr>
              <w:pStyle w:val="TableContents"/>
              <w:bidi w:val="0"/>
              <w:spacing w:before="0" w:after="283"/>
              <w:jc w:val="left"/>
              <w:rPr/>
            </w:pPr>
            <w:r>
              <w:rPr/>
              <w:t>NFR-13</w:t>
            </w:r>
          </w:p>
        </w:tc>
        <w:tc>
          <w:tcPr>
            <w:tcW w:w="9760" w:type="dxa"/>
            <w:tcBorders/>
            <w:vAlign w:val="center"/>
          </w:tcPr>
          <w:p>
            <w:pPr>
              <w:pStyle w:val="TableContents"/>
              <w:bidi w:val="0"/>
              <w:spacing w:before="0" w:after="283"/>
              <w:jc w:val="left"/>
              <w:rPr/>
            </w:pPr>
            <w:r>
              <w:rPr/>
              <w:t>Forms shall provide clear, specific error messages when validation fails, including when the error originates from a downstream service the Gateway had to call.</w:t>
            </w:r>
          </w:p>
        </w:tc>
        <w:tc>
          <w:tcPr>
            <w:tcW w:w="886" w:type="dxa"/>
            <w:tcBorders/>
            <w:vAlign w:val="center"/>
          </w:tcPr>
          <w:p>
            <w:pPr>
              <w:pStyle w:val="TableContents"/>
              <w:bidi w:val="0"/>
              <w:spacing w:before="0" w:after="283"/>
              <w:jc w:val="left"/>
              <w:rPr/>
            </w:pPr>
            <w:r>
              <w:rPr/>
              <w:t>Should</w:t>
            </w:r>
          </w:p>
        </w:tc>
      </w:tr>
      <w:tr>
        <w:trPr/>
        <w:tc>
          <w:tcPr>
            <w:tcW w:w="693" w:type="dxa"/>
            <w:tcBorders/>
            <w:vAlign w:val="center"/>
          </w:tcPr>
          <w:p>
            <w:pPr>
              <w:pStyle w:val="TableContents"/>
              <w:bidi w:val="0"/>
              <w:spacing w:before="0" w:after="283"/>
              <w:jc w:val="left"/>
              <w:rPr/>
            </w:pPr>
            <w:r>
              <w:rPr/>
              <w:t>NFR-14</w:t>
            </w:r>
          </w:p>
        </w:tc>
        <w:tc>
          <w:tcPr>
            <w:tcW w:w="9760" w:type="dxa"/>
            <w:tcBorders/>
            <w:vAlign w:val="center"/>
          </w:tcPr>
          <w:p>
            <w:pPr>
              <w:pStyle w:val="TableContents"/>
              <w:bidi w:val="0"/>
              <w:spacing w:before="0" w:after="283"/>
              <w:jc w:val="left"/>
              <w:rPr/>
            </w:pPr>
            <w:r>
              <w:rPr/>
              <w:t>The interface language for Phase 1 shall be English; multi-language support is out of scope until Phase 5.</w:t>
            </w:r>
          </w:p>
        </w:tc>
        <w:tc>
          <w:tcPr>
            <w:tcW w:w="886" w:type="dxa"/>
            <w:tcBorders/>
            <w:vAlign w:val="center"/>
          </w:tcPr>
          <w:p>
            <w:pPr>
              <w:pStyle w:val="TableContents"/>
              <w:bidi w:val="0"/>
              <w:spacing w:before="0" w:after="283"/>
              <w:jc w:val="left"/>
              <w:rPr/>
            </w:pPr>
            <w:r>
              <w:rPr/>
              <w:t>Must</w:t>
            </w:r>
          </w:p>
        </w:tc>
      </w:tr>
    </w:tbl>
    <w:p>
      <w:pPr>
        <w:pStyle w:val="Heading2"/>
        <w:bidi w:val="0"/>
        <w:jc w:val="left"/>
        <w:rPr/>
      </w:pPr>
      <w:r>
        <w:rPr/>
        <w:t>6. Business Rules</w:t>
      </w:r>
    </w:p>
    <w:tbl>
      <w:tblPr>
        <w:tblW w:w="11339" w:type="dxa"/>
        <w:jc w:val="left"/>
        <w:tblInd w:w="28" w:type="dxa"/>
        <w:tblLayout w:type="fixed"/>
        <w:tblCellMar>
          <w:top w:w="28" w:type="dxa"/>
          <w:left w:w="28" w:type="dxa"/>
          <w:bottom w:w="28" w:type="dxa"/>
          <w:right w:w="28" w:type="dxa"/>
        </w:tblCellMar>
      </w:tblPr>
      <w:tblGrid>
        <w:gridCol w:w="515"/>
        <w:gridCol w:w="10824"/>
      </w:tblGrid>
      <w:tr>
        <w:trPr/>
        <w:tc>
          <w:tcPr>
            <w:tcW w:w="515" w:type="dxa"/>
            <w:tcBorders/>
            <w:vAlign w:val="center"/>
          </w:tcPr>
          <w:p>
            <w:pPr>
              <w:pStyle w:val="TableHeading"/>
              <w:suppressLineNumbers/>
              <w:shd w:fill="1F3864" w:val="clear"/>
              <w:bidi w:val="0"/>
              <w:spacing w:before="0" w:after="283"/>
              <w:jc w:val="left"/>
              <w:rPr/>
            </w:pPr>
            <w:r>
              <w:rPr/>
              <w:t>ID</w:t>
            </w:r>
          </w:p>
        </w:tc>
        <w:tc>
          <w:tcPr>
            <w:tcW w:w="10824" w:type="dxa"/>
            <w:tcBorders/>
            <w:vAlign w:val="center"/>
          </w:tcPr>
          <w:p>
            <w:pPr>
              <w:pStyle w:val="TableHeading"/>
              <w:suppressLineNumbers/>
              <w:shd w:fill="1F3864" w:val="clear"/>
              <w:bidi w:val="0"/>
              <w:spacing w:before="0" w:after="283"/>
              <w:jc w:val="left"/>
              <w:rPr/>
            </w:pPr>
            <w:r>
              <w:rPr/>
              <w:t>Rule</w:t>
            </w:r>
          </w:p>
        </w:tc>
      </w:tr>
      <w:tr>
        <w:trPr/>
        <w:tc>
          <w:tcPr>
            <w:tcW w:w="515" w:type="dxa"/>
            <w:tcBorders/>
            <w:vAlign w:val="center"/>
          </w:tcPr>
          <w:p>
            <w:pPr>
              <w:pStyle w:val="TableContents"/>
              <w:bidi w:val="0"/>
              <w:spacing w:before="0" w:after="283"/>
              <w:jc w:val="left"/>
              <w:rPr/>
            </w:pPr>
            <w:r>
              <w:rPr/>
              <w:t>BR-01</w:t>
            </w:r>
          </w:p>
        </w:tc>
        <w:tc>
          <w:tcPr>
            <w:tcW w:w="10824" w:type="dxa"/>
            <w:tcBorders/>
            <w:vAlign w:val="center"/>
          </w:tcPr>
          <w:p>
            <w:pPr>
              <w:pStyle w:val="TableContents"/>
              <w:bidi w:val="0"/>
              <w:spacing w:before="0" w:after="283"/>
              <w:jc w:val="left"/>
              <w:rPr/>
            </w:pPr>
            <w:r>
              <w:rPr/>
              <w:t>A user shall only be able to view or act on data belonging to companies/branches they are explicitly assigned to, unless their role grants Group-wide access. Enforced independently by each service per 07_System Design Document, Section 6.</w:t>
            </w:r>
          </w:p>
        </w:tc>
      </w:tr>
      <w:tr>
        <w:trPr/>
        <w:tc>
          <w:tcPr>
            <w:tcW w:w="515" w:type="dxa"/>
            <w:tcBorders/>
            <w:vAlign w:val="center"/>
          </w:tcPr>
          <w:p>
            <w:pPr>
              <w:pStyle w:val="TableContents"/>
              <w:bidi w:val="0"/>
              <w:spacing w:before="0" w:after="283"/>
              <w:jc w:val="left"/>
              <w:rPr/>
            </w:pPr>
            <w:r>
              <w:rPr/>
              <w:t>BR-02</w:t>
            </w:r>
          </w:p>
        </w:tc>
        <w:tc>
          <w:tcPr>
            <w:tcW w:w="10824" w:type="dxa"/>
            <w:tcBorders/>
            <w:vAlign w:val="center"/>
          </w:tcPr>
          <w:p>
            <w:pPr>
              <w:pStyle w:val="TableContents"/>
              <w:bidi w:val="0"/>
              <w:spacing w:before="0" w:after="283"/>
              <w:jc w:val="left"/>
              <w:rPr/>
            </w:pPr>
            <w:r>
              <w:rPr/>
              <w:t>A subsidiary company must be linked to a parent company (the holding company or another subsidiary) — orphaned subsidiaries are not permitted.</w:t>
            </w:r>
          </w:p>
        </w:tc>
      </w:tr>
      <w:tr>
        <w:trPr/>
        <w:tc>
          <w:tcPr>
            <w:tcW w:w="515" w:type="dxa"/>
            <w:tcBorders/>
            <w:vAlign w:val="center"/>
          </w:tcPr>
          <w:p>
            <w:pPr>
              <w:pStyle w:val="TableContents"/>
              <w:bidi w:val="0"/>
              <w:spacing w:before="0" w:after="283"/>
              <w:jc w:val="left"/>
              <w:rPr/>
            </w:pPr>
            <w:r>
              <w:rPr/>
              <w:t>BR-03</w:t>
            </w:r>
          </w:p>
        </w:tc>
        <w:tc>
          <w:tcPr>
            <w:tcW w:w="10824" w:type="dxa"/>
            <w:tcBorders/>
            <w:vAlign w:val="center"/>
          </w:tcPr>
          <w:p>
            <w:pPr>
              <w:pStyle w:val="TableContents"/>
              <w:bidi w:val="0"/>
              <w:spacing w:before="0" w:after="283"/>
              <w:jc w:val="left"/>
              <w:rPr/>
            </w:pPr>
            <w:r>
              <w:rPr/>
              <w:t>Every journal entry must balance (total debits equal total credits) before it can be posted to the general ledger.</w:t>
            </w:r>
          </w:p>
        </w:tc>
      </w:tr>
      <w:tr>
        <w:trPr/>
        <w:tc>
          <w:tcPr>
            <w:tcW w:w="515" w:type="dxa"/>
            <w:tcBorders/>
            <w:vAlign w:val="center"/>
          </w:tcPr>
          <w:p>
            <w:pPr>
              <w:pStyle w:val="TableContents"/>
              <w:bidi w:val="0"/>
              <w:spacing w:before="0" w:after="283"/>
              <w:jc w:val="left"/>
              <w:rPr/>
            </w:pPr>
            <w:r>
              <w:rPr/>
              <w:t>BR-04</w:t>
            </w:r>
          </w:p>
        </w:tc>
        <w:tc>
          <w:tcPr>
            <w:tcW w:w="10824" w:type="dxa"/>
            <w:tcBorders/>
            <w:vAlign w:val="center"/>
          </w:tcPr>
          <w:p>
            <w:pPr>
              <w:pStyle w:val="TableContents"/>
              <w:bidi w:val="0"/>
              <w:spacing w:before="0" w:after="283"/>
              <w:jc w:val="left"/>
              <w:rPr/>
            </w:pPr>
            <w:r>
              <w:rPr/>
              <w:t>A financial period must be explicitly closed before journal entries dated within it can no longer be posted, subject to authorized adjusting entries.</w:t>
            </w:r>
          </w:p>
        </w:tc>
      </w:tr>
      <w:tr>
        <w:trPr/>
        <w:tc>
          <w:tcPr>
            <w:tcW w:w="515" w:type="dxa"/>
            <w:tcBorders/>
            <w:vAlign w:val="center"/>
          </w:tcPr>
          <w:p>
            <w:pPr>
              <w:pStyle w:val="TableContents"/>
              <w:bidi w:val="0"/>
              <w:spacing w:before="0" w:after="283"/>
              <w:jc w:val="left"/>
              <w:rPr/>
            </w:pPr>
            <w:r>
              <w:rPr/>
              <w:t>BR-05</w:t>
            </w:r>
          </w:p>
        </w:tc>
        <w:tc>
          <w:tcPr>
            <w:tcW w:w="10824" w:type="dxa"/>
            <w:tcBorders/>
            <w:vAlign w:val="center"/>
          </w:tcPr>
          <w:p>
            <w:pPr>
              <w:pStyle w:val="TableContents"/>
              <w:bidi w:val="0"/>
              <w:spacing w:before="0" w:after="283"/>
              <w:jc w:val="left"/>
              <w:rPr/>
            </w:pPr>
            <w:r>
              <w:rPr/>
              <w:t>Consistent with the Group's own banking governance practice, any Phase 1 configuration action affecting financial data structure should require at least one authorized approver in addition to the user making the change, where the development partner's workflow engine supports it.</w:t>
            </w:r>
          </w:p>
        </w:tc>
      </w:tr>
      <w:tr>
        <w:trPr/>
        <w:tc>
          <w:tcPr>
            <w:tcW w:w="515" w:type="dxa"/>
            <w:tcBorders/>
            <w:vAlign w:val="center"/>
          </w:tcPr>
          <w:p>
            <w:pPr>
              <w:pStyle w:val="TableContents"/>
              <w:bidi w:val="0"/>
              <w:spacing w:before="0" w:after="283"/>
              <w:jc w:val="left"/>
              <w:rPr/>
            </w:pPr>
            <w:r>
              <w:rPr/>
              <w:t>BR-06</w:t>
            </w:r>
          </w:p>
        </w:tc>
        <w:tc>
          <w:tcPr>
            <w:tcW w:w="10824" w:type="dxa"/>
            <w:tcBorders/>
            <w:vAlign w:val="center"/>
          </w:tcPr>
          <w:p>
            <w:pPr>
              <w:pStyle w:val="TableContents"/>
              <w:bidi w:val="0"/>
              <w:spacing w:before="0" w:after="283"/>
              <w:jc w:val="left"/>
              <w:rPr/>
            </w:pPr>
            <w:r>
              <w:rPr/>
              <w:t>A deactivated user account shall immediately lose all system access, without deleting their historical audit trail entries.</w:t>
            </w:r>
          </w:p>
        </w:tc>
      </w:tr>
    </w:tbl>
    <w:p>
      <w:pPr>
        <w:pStyle w:val="Heading2"/>
        <w:bidi w:val="0"/>
        <w:jc w:val="left"/>
        <w:rPr/>
      </w:pPr>
      <w:r>
        <w:rPr/>
        <w:t>7. Security Requirements</w:t>
      </w:r>
    </w:p>
    <w:tbl>
      <w:tblPr>
        <w:tblW w:w="11339" w:type="dxa"/>
        <w:jc w:val="left"/>
        <w:tblInd w:w="28" w:type="dxa"/>
        <w:tblLayout w:type="fixed"/>
        <w:tblCellMar>
          <w:top w:w="28" w:type="dxa"/>
          <w:left w:w="28" w:type="dxa"/>
          <w:bottom w:w="28" w:type="dxa"/>
          <w:right w:w="28" w:type="dxa"/>
        </w:tblCellMar>
      </w:tblPr>
      <w:tblGrid>
        <w:gridCol w:w="644"/>
        <w:gridCol w:w="9809"/>
        <w:gridCol w:w="886"/>
      </w:tblGrid>
      <w:tr>
        <w:trPr/>
        <w:tc>
          <w:tcPr>
            <w:tcW w:w="644" w:type="dxa"/>
            <w:tcBorders/>
            <w:vAlign w:val="center"/>
          </w:tcPr>
          <w:p>
            <w:pPr>
              <w:pStyle w:val="TableHeading"/>
              <w:suppressLineNumbers/>
              <w:shd w:fill="1F3864" w:val="clear"/>
              <w:bidi w:val="0"/>
              <w:spacing w:before="0" w:after="283"/>
              <w:jc w:val="left"/>
              <w:rPr/>
            </w:pPr>
            <w:r>
              <w:rPr/>
              <w:t>ID</w:t>
            </w:r>
          </w:p>
        </w:tc>
        <w:tc>
          <w:tcPr>
            <w:tcW w:w="9809" w:type="dxa"/>
            <w:tcBorders/>
            <w:vAlign w:val="center"/>
          </w:tcPr>
          <w:p>
            <w:pPr>
              <w:pStyle w:val="TableHeading"/>
              <w:suppressLineNumbers/>
              <w:shd w:fill="1F3864" w:val="clear"/>
              <w:bidi w:val="0"/>
              <w:spacing w:before="0" w:after="283"/>
              <w:jc w:val="left"/>
              <w:rPr/>
            </w:pPr>
            <w:r>
              <w:rPr/>
              <w:t>Requirement</w:t>
            </w:r>
          </w:p>
        </w:tc>
        <w:tc>
          <w:tcPr>
            <w:tcW w:w="886" w:type="dxa"/>
            <w:tcBorders/>
            <w:vAlign w:val="center"/>
          </w:tcPr>
          <w:p>
            <w:pPr>
              <w:pStyle w:val="TableHeading"/>
              <w:suppressLineNumbers/>
              <w:shd w:fill="1F3864" w:val="clear"/>
              <w:bidi w:val="0"/>
              <w:spacing w:before="0" w:after="283"/>
              <w:jc w:val="left"/>
              <w:rPr/>
            </w:pPr>
            <w:r>
              <w:rPr/>
              <w:t>Priority</w:t>
            </w:r>
          </w:p>
        </w:tc>
      </w:tr>
      <w:tr>
        <w:trPr/>
        <w:tc>
          <w:tcPr>
            <w:tcW w:w="644" w:type="dxa"/>
            <w:tcBorders/>
            <w:vAlign w:val="center"/>
          </w:tcPr>
          <w:p>
            <w:pPr>
              <w:pStyle w:val="TableContents"/>
              <w:bidi w:val="0"/>
              <w:spacing w:before="0" w:after="283"/>
              <w:jc w:val="left"/>
              <w:rPr/>
            </w:pPr>
            <w:r>
              <w:rPr/>
              <w:t>SEC-01</w:t>
            </w:r>
          </w:p>
        </w:tc>
        <w:tc>
          <w:tcPr>
            <w:tcW w:w="9809" w:type="dxa"/>
            <w:tcBorders/>
            <w:vAlign w:val="center"/>
          </w:tcPr>
          <w:p>
            <w:pPr>
              <w:pStyle w:val="TableContents"/>
              <w:bidi w:val="0"/>
              <w:spacing w:before="0" w:after="283"/>
              <w:jc w:val="left"/>
              <w:rPr/>
            </w:pPr>
            <w:r>
              <w:rPr/>
              <w:t>The system shall implement role-based authorization enforced on the server — at the API Gateway and independently within each service; hiding UI elements alone is not sufficient.</w:t>
            </w:r>
          </w:p>
        </w:tc>
        <w:tc>
          <w:tcPr>
            <w:tcW w:w="886" w:type="dxa"/>
            <w:tcBorders/>
            <w:vAlign w:val="center"/>
          </w:tcPr>
          <w:p>
            <w:pPr>
              <w:pStyle w:val="TableContents"/>
              <w:bidi w:val="0"/>
              <w:spacing w:before="0" w:after="283"/>
              <w:jc w:val="left"/>
              <w:rPr/>
            </w:pPr>
            <w:r>
              <w:rPr/>
              <w:t>Must</w:t>
            </w:r>
          </w:p>
        </w:tc>
      </w:tr>
      <w:tr>
        <w:trPr/>
        <w:tc>
          <w:tcPr>
            <w:tcW w:w="644" w:type="dxa"/>
            <w:tcBorders/>
            <w:vAlign w:val="center"/>
          </w:tcPr>
          <w:p>
            <w:pPr>
              <w:pStyle w:val="TableContents"/>
              <w:bidi w:val="0"/>
              <w:spacing w:before="0" w:after="283"/>
              <w:jc w:val="left"/>
              <w:rPr/>
            </w:pPr>
            <w:r>
              <w:rPr/>
              <w:t>SEC-02</w:t>
            </w:r>
          </w:p>
        </w:tc>
        <w:tc>
          <w:tcPr>
            <w:tcW w:w="9809" w:type="dxa"/>
            <w:tcBorders/>
            <w:vAlign w:val="center"/>
          </w:tcPr>
          <w:p>
            <w:pPr>
              <w:pStyle w:val="TableContents"/>
              <w:bidi w:val="0"/>
              <w:spacing w:before="0" w:after="283"/>
              <w:jc w:val="left"/>
              <w:rPr/>
            </w:pPr>
            <w:r>
              <w:rPr/>
              <w:t>The system shall validate all user input on the server to prevent SQL injection, XSS and similar attacks.</w:t>
            </w:r>
          </w:p>
        </w:tc>
        <w:tc>
          <w:tcPr>
            <w:tcW w:w="886" w:type="dxa"/>
            <w:tcBorders/>
            <w:vAlign w:val="center"/>
          </w:tcPr>
          <w:p>
            <w:pPr>
              <w:pStyle w:val="TableContents"/>
              <w:bidi w:val="0"/>
              <w:spacing w:before="0" w:after="283"/>
              <w:jc w:val="left"/>
              <w:rPr/>
            </w:pPr>
            <w:r>
              <w:rPr/>
              <w:t>Must</w:t>
            </w:r>
          </w:p>
        </w:tc>
      </w:tr>
      <w:tr>
        <w:trPr/>
        <w:tc>
          <w:tcPr>
            <w:tcW w:w="644" w:type="dxa"/>
            <w:tcBorders/>
            <w:vAlign w:val="center"/>
          </w:tcPr>
          <w:p>
            <w:pPr>
              <w:pStyle w:val="TableContents"/>
              <w:bidi w:val="0"/>
              <w:spacing w:before="0" w:after="283"/>
              <w:jc w:val="left"/>
              <w:rPr/>
            </w:pPr>
            <w:r>
              <w:rPr/>
              <w:t>SEC-03</w:t>
            </w:r>
          </w:p>
        </w:tc>
        <w:tc>
          <w:tcPr>
            <w:tcW w:w="9809" w:type="dxa"/>
            <w:tcBorders/>
            <w:vAlign w:val="center"/>
          </w:tcPr>
          <w:p>
            <w:pPr>
              <w:pStyle w:val="TableContents"/>
              <w:bidi w:val="0"/>
              <w:spacing w:before="0" w:after="283"/>
              <w:jc w:val="left"/>
              <w:rPr/>
            </w:pPr>
            <w:r>
              <w:rPr/>
              <w:t>The system shall implement CSRF protection on all state-changing requests.</w:t>
            </w:r>
          </w:p>
        </w:tc>
        <w:tc>
          <w:tcPr>
            <w:tcW w:w="886" w:type="dxa"/>
            <w:tcBorders/>
            <w:vAlign w:val="center"/>
          </w:tcPr>
          <w:p>
            <w:pPr>
              <w:pStyle w:val="TableContents"/>
              <w:bidi w:val="0"/>
              <w:spacing w:before="0" w:after="283"/>
              <w:jc w:val="left"/>
              <w:rPr/>
            </w:pPr>
            <w:r>
              <w:rPr/>
              <w:t>Must</w:t>
            </w:r>
          </w:p>
        </w:tc>
      </w:tr>
      <w:tr>
        <w:trPr/>
        <w:tc>
          <w:tcPr>
            <w:tcW w:w="644" w:type="dxa"/>
            <w:tcBorders/>
            <w:vAlign w:val="center"/>
          </w:tcPr>
          <w:p>
            <w:pPr>
              <w:pStyle w:val="TableContents"/>
              <w:bidi w:val="0"/>
              <w:spacing w:before="0" w:after="283"/>
              <w:jc w:val="left"/>
              <w:rPr/>
            </w:pPr>
            <w:r>
              <w:rPr/>
              <w:t>SEC-04</w:t>
            </w:r>
          </w:p>
        </w:tc>
        <w:tc>
          <w:tcPr>
            <w:tcW w:w="9809" w:type="dxa"/>
            <w:tcBorders/>
            <w:vAlign w:val="center"/>
          </w:tcPr>
          <w:p>
            <w:pPr>
              <w:pStyle w:val="TableContents"/>
              <w:bidi w:val="0"/>
              <w:spacing w:before="0" w:after="283"/>
              <w:jc w:val="left"/>
              <w:rPr/>
            </w:pPr>
            <w:r>
              <w:rPr/>
              <w:t>File uploads shall be validated for type and size, and stored securely.</w:t>
            </w:r>
          </w:p>
        </w:tc>
        <w:tc>
          <w:tcPr>
            <w:tcW w:w="886" w:type="dxa"/>
            <w:tcBorders/>
            <w:vAlign w:val="center"/>
          </w:tcPr>
          <w:p>
            <w:pPr>
              <w:pStyle w:val="TableContents"/>
              <w:bidi w:val="0"/>
              <w:spacing w:before="0" w:after="283"/>
              <w:jc w:val="left"/>
              <w:rPr/>
            </w:pPr>
            <w:r>
              <w:rPr/>
              <w:t>Must</w:t>
            </w:r>
          </w:p>
        </w:tc>
      </w:tr>
      <w:tr>
        <w:trPr/>
        <w:tc>
          <w:tcPr>
            <w:tcW w:w="644" w:type="dxa"/>
            <w:tcBorders/>
            <w:vAlign w:val="center"/>
          </w:tcPr>
          <w:p>
            <w:pPr>
              <w:pStyle w:val="TableContents"/>
              <w:bidi w:val="0"/>
              <w:spacing w:before="0" w:after="283"/>
              <w:jc w:val="left"/>
              <w:rPr/>
            </w:pPr>
            <w:r>
              <w:rPr/>
              <w:t>SEC-05</w:t>
            </w:r>
          </w:p>
        </w:tc>
        <w:tc>
          <w:tcPr>
            <w:tcW w:w="9809" w:type="dxa"/>
            <w:tcBorders/>
            <w:vAlign w:val="center"/>
          </w:tcPr>
          <w:p>
            <w:pPr>
              <w:pStyle w:val="TableContents"/>
              <w:bidi w:val="0"/>
              <w:spacing w:before="0" w:after="283"/>
              <w:jc w:val="left"/>
              <w:rPr/>
            </w:pPr>
            <w:r>
              <w:rPr/>
              <w:t>The system shall apply rate limiting to authentication endpoints, enforced at the API Gateway, to reduce brute-force risk.</w:t>
            </w:r>
          </w:p>
        </w:tc>
        <w:tc>
          <w:tcPr>
            <w:tcW w:w="886" w:type="dxa"/>
            <w:tcBorders/>
            <w:vAlign w:val="center"/>
          </w:tcPr>
          <w:p>
            <w:pPr>
              <w:pStyle w:val="TableContents"/>
              <w:bidi w:val="0"/>
              <w:spacing w:before="0" w:after="283"/>
              <w:jc w:val="left"/>
              <w:rPr/>
            </w:pPr>
            <w:r>
              <w:rPr/>
              <w:t>Should</w:t>
            </w:r>
          </w:p>
        </w:tc>
      </w:tr>
      <w:tr>
        <w:trPr/>
        <w:tc>
          <w:tcPr>
            <w:tcW w:w="644" w:type="dxa"/>
            <w:tcBorders/>
            <w:vAlign w:val="center"/>
          </w:tcPr>
          <w:p>
            <w:pPr>
              <w:pStyle w:val="TableContents"/>
              <w:bidi w:val="0"/>
              <w:spacing w:before="0" w:after="283"/>
              <w:jc w:val="left"/>
              <w:rPr/>
            </w:pPr>
            <w:r>
              <w:rPr/>
              <w:t>SEC-06</w:t>
            </w:r>
          </w:p>
        </w:tc>
        <w:tc>
          <w:tcPr>
            <w:tcW w:w="9809" w:type="dxa"/>
            <w:tcBorders/>
            <w:vAlign w:val="center"/>
          </w:tcPr>
          <w:p>
            <w:pPr>
              <w:pStyle w:val="TableContents"/>
              <w:bidi w:val="0"/>
              <w:spacing w:before="0" w:after="283"/>
              <w:jc w:val="left"/>
              <w:rPr/>
            </w:pPr>
            <w:r>
              <w:rPr/>
              <w:t>Administrative actions shall be captured in the audit trail (see FR-AUDIT-01).</w:t>
            </w:r>
          </w:p>
        </w:tc>
        <w:tc>
          <w:tcPr>
            <w:tcW w:w="886" w:type="dxa"/>
            <w:tcBorders/>
            <w:vAlign w:val="center"/>
          </w:tcPr>
          <w:p>
            <w:pPr>
              <w:pStyle w:val="TableContents"/>
              <w:bidi w:val="0"/>
              <w:spacing w:before="0" w:after="283"/>
              <w:jc w:val="left"/>
              <w:rPr/>
            </w:pPr>
            <w:r>
              <w:rPr/>
              <w:t>Must</w:t>
            </w:r>
          </w:p>
        </w:tc>
      </w:tr>
      <w:tr>
        <w:trPr/>
        <w:tc>
          <w:tcPr>
            <w:tcW w:w="644" w:type="dxa"/>
            <w:tcBorders/>
            <w:vAlign w:val="center"/>
          </w:tcPr>
          <w:p>
            <w:pPr>
              <w:pStyle w:val="TableContents"/>
              <w:bidi w:val="0"/>
              <w:spacing w:before="0" w:after="283"/>
              <w:jc w:val="left"/>
              <w:rPr/>
            </w:pPr>
            <w:r>
              <w:rPr/>
              <w:t>SEC-07</w:t>
            </w:r>
          </w:p>
        </w:tc>
        <w:tc>
          <w:tcPr>
            <w:tcW w:w="9809" w:type="dxa"/>
            <w:tcBorders/>
            <w:vAlign w:val="center"/>
          </w:tcPr>
          <w:p>
            <w:pPr>
              <w:pStyle w:val="TableContents"/>
              <w:bidi w:val="0"/>
              <w:spacing w:before="0" w:after="283"/>
              <w:jc w:val="left"/>
              <w:rPr/>
            </w:pPr>
            <w:r>
              <w:rPr/>
              <w:t>Two-factor authentication shall be available as an option for administrator and finance roles.</w:t>
            </w:r>
          </w:p>
        </w:tc>
        <w:tc>
          <w:tcPr>
            <w:tcW w:w="886" w:type="dxa"/>
            <w:tcBorders/>
            <w:vAlign w:val="center"/>
          </w:tcPr>
          <w:p>
            <w:pPr>
              <w:pStyle w:val="TableContents"/>
              <w:bidi w:val="0"/>
              <w:spacing w:before="0" w:after="283"/>
              <w:jc w:val="left"/>
              <w:rPr/>
            </w:pPr>
            <w:r>
              <w:rPr/>
              <w:t>Could</w:t>
            </w:r>
          </w:p>
        </w:tc>
      </w:tr>
    </w:tbl>
    <w:p>
      <w:pPr>
        <w:pStyle w:val="Heading2"/>
        <w:bidi w:val="0"/>
        <w:jc w:val="left"/>
        <w:rPr/>
      </w:pPr>
      <w:r>
        <w:rPr/>
        <w:t>8. Reporting Requirements</w:t>
      </w:r>
    </w:p>
    <w:p>
      <w:pPr>
        <w:pStyle w:val="BodyText"/>
        <w:bidi w:val="0"/>
        <w:jc w:val="left"/>
        <w:rPr/>
      </w:pPr>
      <w:r>
        <w:rPr/>
        <w:t>Phase 1 reporting is intentionally basic. Under the microservices architecture, list/report endpoints are served either directly by the owning service or, where cross-entity aggregation is needed, by the Audit &amp; Reporting Service's read models (07_System Design Document, Section 4).</w:t>
      </w:r>
    </w:p>
    <w:tbl>
      <w:tblPr>
        <w:tblW w:w="11339" w:type="dxa"/>
        <w:jc w:val="left"/>
        <w:tblInd w:w="28" w:type="dxa"/>
        <w:tblLayout w:type="fixed"/>
        <w:tblCellMar>
          <w:top w:w="28" w:type="dxa"/>
          <w:left w:w="28" w:type="dxa"/>
          <w:bottom w:w="28" w:type="dxa"/>
          <w:right w:w="28" w:type="dxa"/>
        </w:tblCellMar>
      </w:tblPr>
      <w:tblGrid>
        <w:gridCol w:w="732"/>
        <w:gridCol w:w="9721"/>
        <w:gridCol w:w="886"/>
      </w:tblGrid>
      <w:tr>
        <w:trPr/>
        <w:tc>
          <w:tcPr>
            <w:tcW w:w="732" w:type="dxa"/>
            <w:tcBorders/>
            <w:vAlign w:val="center"/>
          </w:tcPr>
          <w:p>
            <w:pPr>
              <w:pStyle w:val="TableHeading"/>
              <w:suppressLineNumbers/>
              <w:shd w:fill="1F3864" w:val="clear"/>
              <w:bidi w:val="0"/>
              <w:spacing w:before="0" w:after="283"/>
              <w:jc w:val="left"/>
              <w:rPr/>
            </w:pPr>
            <w:r>
              <w:rPr/>
              <w:t>ID</w:t>
            </w:r>
          </w:p>
        </w:tc>
        <w:tc>
          <w:tcPr>
            <w:tcW w:w="9721" w:type="dxa"/>
            <w:tcBorders/>
            <w:vAlign w:val="center"/>
          </w:tcPr>
          <w:p>
            <w:pPr>
              <w:pStyle w:val="TableHeading"/>
              <w:suppressLineNumbers/>
              <w:shd w:fill="1F3864" w:val="clear"/>
              <w:bidi w:val="0"/>
              <w:spacing w:before="0" w:after="283"/>
              <w:jc w:val="left"/>
              <w:rPr/>
            </w:pPr>
            <w:r>
              <w:rPr/>
              <w:t>Requirement</w:t>
            </w:r>
          </w:p>
        </w:tc>
        <w:tc>
          <w:tcPr>
            <w:tcW w:w="886" w:type="dxa"/>
            <w:tcBorders/>
            <w:vAlign w:val="center"/>
          </w:tcPr>
          <w:p>
            <w:pPr>
              <w:pStyle w:val="TableHeading"/>
              <w:suppressLineNumbers/>
              <w:shd w:fill="1F3864" w:val="clear"/>
              <w:bidi w:val="0"/>
              <w:spacing w:before="0" w:after="283"/>
              <w:jc w:val="left"/>
              <w:rPr/>
            </w:pPr>
            <w:r>
              <w:rPr/>
              <w:t>Priority</w:t>
            </w:r>
          </w:p>
        </w:tc>
      </w:tr>
      <w:tr>
        <w:trPr/>
        <w:tc>
          <w:tcPr>
            <w:tcW w:w="732" w:type="dxa"/>
            <w:tcBorders/>
            <w:vAlign w:val="center"/>
          </w:tcPr>
          <w:p>
            <w:pPr>
              <w:pStyle w:val="TableContents"/>
              <w:bidi w:val="0"/>
              <w:spacing w:before="0" w:after="283"/>
              <w:jc w:val="left"/>
              <w:rPr/>
            </w:pPr>
            <w:r>
              <w:rPr/>
              <w:t>RPT-01</w:t>
            </w:r>
          </w:p>
        </w:tc>
        <w:tc>
          <w:tcPr>
            <w:tcW w:w="9721" w:type="dxa"/>
            <w:tcBorders/>
            <w:vAlign w:val="center"/>
          </w:tcPr>
          <w:p>
            <w:pPr>
              <w:pStyle w:val="TableContents"/>
              <w:bidi w:val="0"/>
              <w:spacing w:before="0" w:after="283"/>
              <w:jc w:val="left"/>
              <w:rPr/>
            </w:pPr>
            <w:r>
              <w:rPr/>
              <w:t>The system shall generate a company/branch listing report.</w:t>
            </w:r>
          </w:p>
        </w:tc>
        <w:tc>
          <w:tcPr>
            <w:tcW w:w="886" w:type="dxa"/>
            <w:tcBorders/>
            <w:vAlign w:val="center"/>
          </w:tcPr>
          <w:p>
            <w:pPr>
              <w:pStyle w:val="TableContents"/>
              <w:bidi w:val="0"/>
              <w:spacing w:before="0" w:after="283"/>
              <w:jc w:val="left"/>
              <w:rPr/>
            </w:pPr>
            <w:r>
              <w:rPr/>
              <w:t>Must</w:t>
            </w:r>
          </w:p>
        </w:tc>
      </w:tr>
      <w:tr>
        <w:trPr/>
        <w:tc>
          <w:tcPr>
            <w:tcW w:w="732" w:type="dxa"/>
            <w:tcBorders/>
            <w:vAlign w:val="center"/>
          </w:tcPr>
          <w:p>
            <w:pPr>
              <w:pStyle w:val="TableContents"/>
              <w:bidi w:val="0"/>
              <w:spacing w:before="0" w:after="283"/>
              <w:jc w:val="left"/>
              <w:rPr/>
            </w:pPr>
            <w:r>
              <w:rPr/>
              <w:t>RPT-02</w:t>
            </w:r>
          </w:p>
        </w:tc>
        <w:tc>
          <w:tcPr>
            <w:tcW w:w="9721" w:type="dxa"/>
            <w:tcBorders/>
            <w:vAlign w:val="center"/>
          </w:tcPr>
          <w:p>
            <w:pPr>
              <w:pStyle w:val="TableContents"/>
              <w:bidi w:val="0"/>
              <w:spacing w:before="0" w:after="283"/>
              <w:jc w:val="left"/>
              <w:rPr/>
            </w:pPr>
            <w:r>
              <w:rPr/>
              <w:t>The system shall generate an employee listing report, filterable by company, branch and department.</w:t>
            </w:r>
          </w:p>
        </w:tc>
        <w:tc>
          <w:tcPr>
            <w:tcW w:w="886" w:type="dxa"/>
            <w:tcBorders/>
            <w:vAlign w:val="center"/>
          </w:tcPr>
          <w:p>
            <w:pPr>
              <w:pStyle w:val="TableContents"/>
              <w:bidi w:val="0"/>
              <w:spacing w:before="0" w:after="283"/>
              <w:jc w:val="left"/>
              <w:rPr/>
            </w:pPr>
            <w:r>
              <w:rPr/>
              <w:t>Must</w:t>
            </w:r>
          </w:p>
        </w:tc>
      </w:tr>
      <w:tr>
        <w:trPr/>
        <w:tc>
          <w:tcPr>
            <w:tcW w:w="732" w:type="dxa"/>
            <w:tcBorders/>
            <w:vAlign w:val="center"/>
          </w:tcPr>
          <w:p>
            <w:pPr>
              <w:pStyle w:val="TableContents"/>
              <w:bidi w:val="0"/>
              <w:spacing w:before="0" w:after="283"/>
              <w:jc w:val="left"/>
              <w:rPr/>
            </w:pPr>
            <w:r>
              <w:rPr/>
              <w:t>RPT-03</w:t>
            </w:r>
          </w:p>
        </w:tc>
        <w:tc>
          <w:tcPr>
            <w:tcW w:w="9721" w:type="dxa"/>
            <w:tcBorders/>
            <w:vAlign w:val="center"/>
          </w:tcPr>
          <w:p>
            <w:pPr>
              <w:pStyle w:val="TableContents"/>
              <w:bidi w:val="0"/>
              <w:spacing w:before="0" w:after="283"/>
              <w:jc w:val="left"/>
              <w:rPr/>
            </w:pPr>
            <w:r>
              <w:rPr/>
              <w:t>The system shall generate customer and supplier listing reports.</w:t>
            </w:r>
          </w:p>
        </w:tc>
        <w:tc>
          <w:tcPr>
            <w:tcW w:w="886" w:type="dxa"/>
            <w:tcBorders/>
            <w:vAlign w:val="center"/>
          </w:tcPr>
          <w:p>
            <w:pPr>
              <w:pStyle w:val="TableContents"/>
              <w:bidi w:val="0"/>
              <w:spacing w:before="0" w:after="283"/>
              <w:jc w:val="left"/>
              <w:rPr/>
            </w:pPr>
            <w:r>
              <w:rPr/>
              <w:t>Must</w:t>
            </w:r>
          </w:p>
        </w:tc>
      </w:tr>
      <w:tr>
        <w:trPr/>
        <w:tc>
          <w:tcPr>
            <w:tcW w:w="732" w:type="dxa"/>
            <w:tcBorders/>
            <w:vAlign w:val="center"/>
          </w:tcPr>
          <w:p>
            <w:pPr>
              <w:pStyle w:val="TableContents"/>
              <w:bidi w:val="0"/>
              <w:spacing w:before="0" w:after="283"/>
              <w:jc w:val="left"/>
              <w:rPr/>
            </w:pPr>
            <w:r>
              <w:rPr/>
              <w:t>RPT-04</w:t>
            </w:r>
          </w:p>
        </w:tc>
        <w:tc>
          <w:tcPr>
            <w:tcW w:w="9721" w:type="dxa"/>
            <w:tcBorders/>
            <w:vAlign w:val="center"/>
          </w:tcPr>
          <w:p>
            <w:pPr>
              <w:pStyle w:val="TableContents"/>
              <w:bidi w:val="0"/>
              <w:spacing w:before="0" w:after="283"/>
              <w:jc w:val="left"/>
              <w:rPr/>
            </w:pPr>
            <w:r>
              <w:rPr/>
              <w:t>The system shall generate a chart of accounts report and a trial balance report for a selected company and period.</w:t>
            </w:r>
          </w:p>
        </w:tc>
        <w:tc>
          <w:tcPr>
            <w:tcW w:w="886" w:type="dxa"/>
            <w:tcBorders/>
            <w:vAlign w:val="center"/>
          </w:tcPr>
          <w:p>
            <w:pPr>
              <w:pStyle w:val="TableContents"/>
              <w:bidi w:val="0"/>
              <w:spacing w:before="0" w:after="283"/>
              <w:jc w:val="left"/>
              <w:rPr/>
            </w:pPr>
            <w:r>
              <w:rPr/>
              <w:t>Must</w:t>
            </w:r>
          </w:p>
        </w:tc>
      </w:tr>
      <w:tr>
        <w:trPr/>
        <w:tc>
          <w:tcPr>
            <w:tcW w:w="732" w:type="dxa"/>
            <w:tcBorders/>
            <w:vAlign w:val="center"/>
          </w:tcPr>
          <w:p>
            <w:pPr>
              <w:pStyle w:val="TableContents"/>
              <w:bidi w:val="0"/>
              <w:spacing w:before="0" w:after="283"/>
              <w:jc w:val="left"/>
              <w:rPr/>
            </w:pPr>
            <w:r>
              <w:rPr/>
              <w:t>RPT-05</w:t>
            </w:r>
          </w:p>
        </w:tc>
        <w:tc>
          <w:tcPr>
            <w:tcW w:w="9721" w:type="dxa"/>
            <w:tcBorders/>
            <w:vAlign w:val="center"/>
          </w:tcPr>
          <w:p>
            <w:pPr>
              <w:pStyle w:val="TableContents"/>
              <w:bidi w:val="0"/>
              <w:spacing w:before="0" w:after="283"/>
              <w:jc w:val="left"/>
              <w:rPr/>
            </w:pPr>
            <w:r>
              <w:rPr/>
              <w:t>The system shall generate an audit trail report, filterable by user, date range, company and action type.</w:t>
            </w:r>
          </w:p>
        </w:tc>
        <w:tc>
          <w:tcPr>
            <w:tcW w:w="886" w:type="dxa"/>
            <w:tcBorders/>
            <w:vAlign w:val="center"/>
          </w:tcPr>
          <w:p>
            <w:pPr>
              <w:pStyle w:val="TableContents"/>
              <w:bidi w:val="0"/>
              <w:spacing w:before="0" w:after="283"/>
              <w:jc w:val="left"/>
              <w:rPr/>
            </w:pPr>
            <w:r>
              <w:rPr/>
              <w:t>Must</w:t>
            </w:r>
          </w:p>
        </w:tc>
      </w:tr>
      <w:tr>
        <w:trPr/>
        <w:tc>
          <w:tcPr>
            <w:tcW w:w="732" w:type="dxa"/>
            <w:tcBorders/>
            <w:vAlign w:val="center"/>
          </w:tcPr>
          <w:p>
            <w:pPr>
              <w:pStyle w:val="TableContents"/>
              <w:bidi w:val="0"/>
              <w:spacing w:before="0" w:after="283"/>
              <w:jc w:val="left"/>
              <w:rPr/>
            </w:pPr>
            <w:r>
              <w:rPr/>
              <w:t>RPT-06</w:t>
            </w:r>
          </w:p>
        </w:tc>
        <w:tc>
          <w:tcPr>
            <w:tcW w:w="9721" w:type="dxa"/>
            <w:tcBorders/>
            <w:vAlign w:val="center"/>
          </w:tcPr>
          <w:p>
            <w:pPr>
              <w:pStyle w:val="TableContents"/>
              <w:bidi w:val="0"/>
              <w:spacing w:before="0" w:after="283"/>
              <w:jc w:val="left"/>
              <w:rPr/>
            </w:pPr>
            <w:r>
              <w:rPr/>
              <w:t>Reports shall be exportable to at least PDF and Excel/CSV.</w:t>
            </w:r>
          </w:p>
        </w:tc>
        <w:tc>
          <w:tcPr>
            <w:tcW w:w="886" w:type="dxa"/>
            <w:tcBorders/>
            <w:vAlign w:val="center"/>
          </w:tcPr>
          <w:p>
            <w:pPr>
              <w:pStyle w:val="TableContents"/>
              <w:bidi w:val="0"/>
              <w:spacing w:before="0" w:after="283"/>
              <w:jc w:val="left"/>
              <w:rPr/>
            </w:pPr>
            <w:r>
              <w:rPr/>
              <w:t>Should</w:t>
            </w:r>
          </w:p>
        </w:tc>
      </w:tr>
    </w:tbl>
    <w:p>
      <w:pPr>
        <w:pStyle w:val="Heading2"/>
        <w:bidi w:val="0"/>
        <w:jc w:val="left"/>
        <w:rPr/>
      </w:pPr>
      <w:r>
        <w:rPr/>
        <w:t>9. Integration Requirements</w:t>
      </w:r>
    </w:p>
    <w:p>
      <w:pPr>
        <w:pStyle w:val="BodyText"/>
        <w:bidi w:val="0"/>
        <w:jc w:val="left"/>
        <w:rPr/>
      </w:pPr>
      <w:r>
        <w:rPr>
          <w:b/>
        </w:rPr>
        <w:t>No external system integrations are required for Phase 1.</w:t>
      </w:r>
      <w:r>
        <w:rPr/>
        <w:t xml:space="preserve"> Banks, mobile money, payment gateways, SMS gateways, tax systems, biometric devices and other integrations listed in the system scope document belong to Phase 5.</w:t>
      </w:r>
    </w:p>
    <w:tbl>
      <w:tblPr>
        <w:tblW w:w="11339" w:type="dxa"/>
        <w:jc w:val="left"/>
        <w:tblInd w:w="28" w:type="dxa"/>
        <w:tblLayout w:type="fixed"/>
        <w:tblCellMar>
          <w:top w:w="28" w:type="dxa"/>
          <w:left w:w="28" w:type="dxa"/>
          <w:bottom w:w="28" w:type="dxa"/>
          <w:right w:w="28" w:type="dxa"/>
        </w:tblCellMar>
      </w:tblPr>
      <w:tblGrid>
        <w:gridCol w:w="612"/>
        <w:gridCol w:w="9841"/>
        <w:gridCol w:w="886"/>
      </w:tblGrid>
      <w:tr>
        <w:trPr/>
        <w:tc>
          <w:tcPr>
            <w:tcW w:w="612" w:type="dxa"/>
            <w:tcBorders/>
            <w:vAlign w:val="center"/>
          </w:tcPr>
          <w:p>
            <w:pPr>
              <w:pStyle w:val="TableHeading"/>
              <w:suppressLineNumbers/>
              <w:shd w:fill="1F3864" w:val="clear"/>
              <w:bidi w:val="0"/>
              <w:spacing w:before="0" w:after="283"/>
              <w:jc w:val="left"/>
              <w:rPr/>
            </w:pPr>
            <w:r>
              <w:rPr/>
              <w:t>ID</w:t>
            </w:r>
          </w:p>
        </w:tc>
        <w:tc>
          <w:tcPr>
            <w:tcW w:w="9841" w:type="dxa"/>
            <w:tcBorders/>
            <w:vAlign w:val="center"/>
          </w:tcPr>
          <w:p>
            <w:pPr>
              <w:pStyle w:val="TableHeading"/>
              <w:suppressLineNumbers/>
              <w:shd w:fill="1F3864" w:val="clear"/>
              <w:bidi w:val="0"/>
              <w:spacing w:before="0" w:after="283"/>
              <w:jc w:val="left"/>
              <w:rPr/>
            </w:pPr>
            <w:r>
              <w:rPr/>
              <w:t>Requirement</w:t>
            </w:r>
          </w:p>
        </w:tc>
        <w:tc>
          <w:tcPr>
            <w:tcW w:w="886" w:type="dxa"/>
            <w:tcBorders/>
            <w:vAlign w:val="center"/>
          </w:tcPr>
          <w:p>
            <w:pPr>
              <w:pStyle w:val="TableHeading"/>
              <w:suppressLineNumbers/>
              <w:shd w:fill="1F3864" w:val="clear"/>
              <w:bidi w:val="0"/>
              <w:spacing w:before="0" w:after="283"/>
              <w:jc w:val="left"/>
              <w:rPr/>
            </w:pPr>
            <w:r>
              <w:rPr/>
              <w:t>Priority</w:t>
            </w:r>
          </w:p>
        </w:tc>
      </w:tr>
      <w:tr>
        <w:trPr/>
        <w:tc>
          <w:tcPr>
            <w:tcW w:w="612" w:type="dxa"/>
            <w:tcBorders/>
            <w:vAlign w:val="center"/>
          </w:tcPr>
          <w:p>
            <w:pPr>
              <w:pStyle w:val="TableContents"/>
              <w:bidi w:val="0"/>
              <w:spacing w:before="0" w:after="283"/>
              <w:jc w:val="left"/>
              <w:rPr/>
            </w:pPr>
            <w:r>
              <w:rPr/>
              <w:t>INT-01</w:t>
            </w:r>
          </w:p>
        </w:tc>
        <w:tc>
          <w:tcPr>
            <w:tcW w:w="9841" w:type="dxa"/>
            <w:tcBorders/>
            <w:vAlign w:val="center"/>
          </w:tcPr>
          <w:p>
            <w:pPr>
              <w:pStyle w:val="TableContents"/>
              <w:bidi w:val="0"/>
              <w:spacing w:before="0" w:after="283"/>
              <w:jc w:val="left"/>
              <w:rPr/>
            </w:pPr>
            <w:r>
              <w:rPr/>
              <w:t>The system shall send transactional email (e.g. password reset) via a managed email-sending service, rather than the confirmed stack's self-hosted iRedMail server, which is recommended for a later phase.</w:t>
            </w:r>
          </w:p>
        </w:tc>
        <w:tc>
          <w:tcPr>
            <w:tcW w:w="886" w:type="dxa"/>
            <w:tcBorders/>
            <w:vAlign w:val="center"/>
          </w:tcPr>
          <w:p>
            <w:pPr>
              <w:pStyle w:val="TableContents"/>
              <w:bidi w:val="0"/>
              <w:spacing w:before="0" w:after="283"/>
              <w:jc w:val="left"/>
              <w:rPr/>
            </w:pPr>
            <w:r>
              <w:rPr/>
              <w:t>Should</w:t>
            </w:r>
          </w:p>
        </w:tc>
      </w:tr>
      <w:tr>
        <w:trPr/>
        <w:tc>
          <w:tcPr>
            <w:tcW w:w="612" w:type="dxa"/>
            <w:tcBorders/>
            <w:vAlign w:val="center"/>
          </w:tcPr>
          <w:p>
            <w:pPr>
              <w:pStyle w:val="TableContents"/>
              <w:bidi w:val="0"/>
              <w:spacing w:before="0" w:after="283"/>
              <w:jc w:val="left"/>
              <w:rPr/>
            </w:pPr>
            <w:r>
              <w:rPr/>
              <w:t>INT-02</w:t>
            </w:r>
          </w:p>
        </w:tc>
        <w:tc>
          <w:tcPr>
            <w:tcW w:w="9841" w:type="dxa"/>
            <w:tcBorders/>
            <w:vAlign w:val="center"/>
          </w:tcPr>
          <w:p>
            <w:pPr>
              <w:pStyle w:val="TableContents"/>
              <w:bidi w:val="0"/>
              <w:spacing w:before="0" w:after="283"/>
              <w:jc w:val="left"/>
              <w:rPr/>
            </w:pPr>
            <w:r>
              <w:rPr/>
              <w:t>No other third-party integration is in scope for Phase 1.</w:t>
            </w:r>
          </w:p>
        </w:tc>
        <w:tc>
          <w:tcPr>
            <w:tcW w:w="886" w:type="dxa"/>
            <w:tcBorders/>
            <w:vAlign w:val="center"/>
          </w:tcPr>
          <w:p>
            <w:pPr>
              <w:pStyle w:val="TableContents"/>
              <w:bidi w:val="0"/>
              <w:spacing w:before="0" w:after="283"/>
              <w:jc w:val="left"/>
              <w:rPr/>
            </w:pPr>
            <w:r>
              <w:rPr/>
              <w:t>—</w:t>
            </w:r>
          </w:p>
        </w:tc>
      </w:tr>
    </w:tbl>
    <w:p>
      <w:pPr>
        <w:pStyle w:val="Heading2"/>
        <w:bidi w:val="0"/>
        <w:jc w:val="left"/>
        <w:rPr/>
      </w:pPr>
      <w:r>
        <w:rPr/>
        <w:t>10. Assumptions and Constraints</w:t>
      </w:r>
    </w:p>
    <w:p>
      <w:pPr>
        <w:pStyle w:val="Heading3"/>
        <w:bidi w:val="0"/>
        <w:jc w:val="left"/>
        <w:rPr/>
      </w:pPr>
      <w:r>
        <w:rPr/>
        <w:t>10.1 Assumptions</w:t>
      </w:r>
    </w:p>
    <w:p>
      <w:pPr>
        <w:pStyle w:val="BodyText"/>
        <w:numPr>
          <w:ilvl w:val="0"/>
          <w:numId w:val="4"/>
        </w:numPr>
        <w:tabs>
          <w:tab w:val="clear" w:pos="1134"/>
          <w:tab w:val="left" w:pos="709" w:leader="none"/>
        </w:tabs>
        <w:bidi w:val="0"/>
        <w:spacing w:before="0" w:after="0"/>
        <w:ind w:hanging="283" w:left="709"/>
        <w:jc w:val="left"/>
        <w:rPr/>
      </w:pPr>
      <w:r>
        <w:rPr/>
        <w:t xml:space="preserve">Phase 1 is built as a set of independently deployable microservices (Identity, Organization, Employee, Customer, Supplier, Product, Accounting, Audit &amp; Reporting) plus an API Gateway, per 07_System Design Document (v2.0) — superseding an earlier modular-monolith assumption. </w:t>
      </w:r>
    </w:p>
    <w:p>
      <w:pPr>
        <w:pStyle w:val="BodyText"/>
        <w:numPr>
          <w:ilvl w:val="0"/>
          <w:numId w:val="4"/>
        </w:numPr>
        <w:tabs>
          <w:tab w:val="clear" w:pos="1134"/>
          <w:tab w:val="left" w:pos="709" w:leader="none"/>
        </w:tabs>
        <w:bidi w:val="0"/>
        <w:spacing w:before="0" w:after="0"/>
        <w:ind w:hanging="283" w:left="709"/>
        <w:jc w:val="left"/>
        <w:rPr/>
      </w:pPr>
      <w:r>
        <w:rPr/>
        <w:t xml:space="preserve">The confirmed stack — Node.js, NestJS, Fastify, PostgreSQL, Redis, Kafka — is used across all services, with the full observability stack (Prometheus/Grafana, Jaeger, EFK) and Ansible adopted from Phase 1, per that same document. </w:t>
      </w:r>
    </w:p>
    <w:p>
      <w:pPr>
        <w:pStyle w:val="BodyText"/>
        <w:numPr>
          <w:ilvl w:val="0"/>
          <w:numId w:val="4"/>
        </w:numPr>
        <w:tabs>
          <w:tab w:val="clear" w:pos="1134"/>
          <w:tab w:val="left" w:pos="709" w:leader="none"/>
        </w:tabs>
        <w:bidi w:val="0"/>
        <w:spacing w:before="0" w:after="0"/>
        <w:ind w:hanging="283" w:left="709"/>
        <w:jc w:val="left"/>
        <w:rPr/>
      </w:pPr>
      <w:r>
        <w:rPr/>
        <w:t xml:space="preserve">Existing employee, customer, supplier and product records will be provided by department heads in a reviewable format to support data migration. </w:t>
      </w:r>
    </w:p>
    <w:p>
      <w:pPr>
        <w:pStyle w:val="BodyText"/>
        <w:numPr>
          <w:ilvl w:val="0"/>
          <w:numId w:val="4"/>
        </w:numPr>
        <w:tabs>
          <w:tab w:val="clear" w:pos="1134"/>
          <w:tab w:val="left" w:pos="709" w:leader="none"/>
        </w:tabs>
        <w:bidi w:val="0"/>
        <w:spacing w:before="0" w:after="0"/>
        <w:ind w:hanging="283" w:left="709"/>
        <w:jc w:val="left"/>
        <w:rPr/>
      </w:pPr>
      <w:r>
        <w:rPr/>
        <w:t xml:space="preserve">A development team or technology partner with demonstrated Kafka/microservices/AWS ECS delivery experience will be engaged, per 03_Feasibility Study, Section 3.4. </w:t>
      </w:r>
    </w:p>
    <w:p>
      <w:pPr>
        <w:pStyle w:val="BodyText"/>
        <w:numPr>
          <w:ilvl w:val="0"/>
          <w:numId w:val="4"/>
        </w:numPr>
        <w:tabs>
          <w:tab w:val="clear" w:pos="1134"/>
          <w:tab w:val="left" w:pos="709" w:leader="none"/>
        </w:tabs>
        <w:bidi w:val="0"/>
        <w:ind w:hanging="283" w:left="709"/>
        <w:jc w:val="left"/>
        <w:rPr/>
      </w:pPr>
      <w:r>
        <w:rPr/>
        <w:t xml:space="preserve">The Board will resolve the Secretary/signatory gap identified in the Feasibility Study before Phase 1 funding is disbursed. </w:t>
      </w:r>
    </w:p>
    <w:p>
      <w:pPr>
        <w:pStyle w:val="Heading3"/>
        <w:bidi w:val="0"/>
        <w:jc w:val="left"/>
        <w:rPr/>
      </w:pPr>
      <w:r>
        <w:rPr/>
        <w:t>10.2 Constraints</w:t>
      </w:r>
    </w:p>
    <w:p>
      <w:pPr>
        <w:pStyle w:val="BodyText"/>
        <w:numPr>
          <w:ilvl w:val="0"/>
          <w:numId w:val="5"/>
        </w:numPr>
        <w:tabs>
          <w:tab w:val="clear" w:pos="1134"/>
          <w:tab w:val="left" w:pos="709" w:leader="none"/>
        </w:tabs>
        <w:bidi w:val="0"/>
        <w:spacing w:before="0" w:after="0"/>
        <w:ind w:hanging="283" w:left="709"/>
        <w:jc w:val="left"/>
        <w:rPr/>
      </w:pPr>
      <w:r>
        <w:rPr/>
        <w:t xml:space="preserve">Phase 1 currency support is single-currency (the Group's home currency, UGX); multi-currency is a Phase 3 feature. </w:t>
      </w:r>
    </w:p>
    <w:p>
      <w:pPr>
        <w:pStyle w:val="BodyText"/>
        <w:numPr>
          <w:ilvl w:val="0"/>
          <w:numId w:val="5"/>
        </w:numPr>
        <w:tabs>
          <w:tab w:val="clear" w:pos="1134"/>
          <w:tab w:val="left" w:pos="709" w:leader="none"/>
        </w:tabs>
        <w:bidi w:val="0"/>
        <w:spacing w:before="0" w:after="0"/>
        <w:ind w:hanging="283" w:left="709"/>
        <w:jc w:val="left"/>
        <w:rPr/>
      </w:pPr>
      <w:r>
        <w:rPr/>
        <w:t xml:space="preserve">Phase 1 language support is English only; internationalization is a Phase 5 feature. </w:t>
      </w:r>
    </w:p>
    <w:p>
      <w:pPr>
        <w:pStyle w:val="BodyText"/>
        <w:numPr>
          <w:ilvl w:val="0"/>
          <w:numId w:val="5"/>
        </w:numPr>
        <w:tabs>
          <w:tab w:val="clear" w:pos="1134"/>
          <w:tab w:val="left" w:pos="709" w:leader="none"/>
        </w:tabs>
        <w:bidi w:val="0"/>
        <w:spacing w:before="0" w:after="0"/>
        <w:ind w:hanging="283" w:left="709"/>
        <w:jc w:val="left"/>
        <w:rPr/>
      </w:pPr>
      <w:r>
        <w:rPr/>
        <w:t xml:space="preserve">Firm performance and availability targets (Section 5) cannot be finalized until hosting infrastructure is selected. </w:t>
      </w:r>
    </w:p>
    <w:p>
      <w:pPr>
        <w:pStyle w:val="BodyText"/>
        <w:numPr>
          <w:ilvl w:val="0"/>
          <w:numId w:val="5"/>
        </w:numPr>
        <w:tabs>
          <w:tab w:val="clear" w:pos="1134"/>
          <w:tab w:val="left" w:pos="709" w:leader="none"/>
        </w:tabs>
        <w:bidi w:val="0"/>
        <w:ind w:hanging="283" w:left="709"/>
        <w:jc w:val="left"/>
        <w:rPr/>
      </w:pPr>
      <w:r>
        <w:rPr/>
        <w:t xml:space="preserve">Budget for Phase 1 development has not yet been confirmed, and per 03_Feasibility Study is now expected to be materially higher than under the originally recommended monolith design; this SRS defines requirements independent of that figure, but scope may need to be revisited once quotations are received. </w:t>
      </w:r>
    </w:p>
    <w:p>
      <w:pPr>
        <w:pStyle w:val="Heading2"/>
        <w:bidi w:val="0"/>
        <w:jc w:val="left"/>
        <w:rPr/>
      </w:pPr>
      <w:r>
        <w:rPr/>
        <w:t>11. Acceptance Criteria</w:t>
      </w:r>
    </w:p>
    <w:tbl>
      <w:tblPr>
        <w:tblW w:w="11339" w:type="dxa"/>
        <w:jc w:val="left"/>
        <w:tblInd w:w="28" w:type="dxa"/>
        <w:tblLayout w:type="fixed"/>
        <w:tblCellMar>
          <w:top w:w="28" w:type="dxa"/>
          <w:left w:w="28" w:type="dxa"/>
          <w:bottom w:w="28" w:type="dxa"/>
          <w:right w:w="28" w:type="dxa"/>
        </w:tblCellMar>
      </w:tblPr>
      <w:tblGrid>
        <w:gridCol w:w="516"/>
        <w:gridCol w:w="8672"/>
        <w:gridCol w:w="2151"/>
      </w:tblGrid>
      <w:tr>
        <w:trPr/>
        <w:tc>
          <w:tcPr>
            <w:tcW w:w="516" w:type="dxa"/>
            <w:tcBorders/>
            <w:vAlign w:val="center"/>
          </w:tcPr>
          <w:p>
            <w:pPr>
              <w:pStyle w:val="TableHeading"/>
              <w:suppressLineNumbers/>
              <w:shd w:fill="1F3864" w:val="clear"/>
              <w:bidi w:val="0"/>
              <w:spacing w:before="0" w:after="283"/>
              <w:jc w:val="left"/>
              <w:rPr/>
            </w:pPr>
            <w:r>
              <w:rPr/>
              <w:t>ID</w:t>
            </w:r>
          </w:p>
        </w:tc>
        <w:tc>
          <w:tcPr>
            <w:tcW w:w="8672" w:type="dxa"/>
            <w:tcBorders/>
            <w:vAlign w:val="center"/>
          </w:tcPr>
          <w:p>
            <w:pPr>
              <w:pStyle w:val="TableHeading"/>
              <w:suppressLineNumbers/>
              <w:shd w:fill="1F3864" w:val="clear"/>
              <w:bidi w:val="0"/>
              <w:spacing w:before="0" w:after="283"/>
              <w:jc w:val="left"/>
              <w:rPr/>
            </w:pPr>
            <w:r>
              <w:rPr/>
              <w:t>Acceptance Criterion</w:t>
            </w:r>
          </w:p>
        </w:tc>
        <w:tc>
          <w:tcPr>
            <w:tcW w:w="2151" w:type="dxa"/>
            <w:tcBorders/>
            <w:vAlign w:val="center"/>
          </w:tcPr>
          <w:p>
            <w:pPr>
              <w:pStyle w:val="TableHeading"/>
              <w:suppressLineNumbers/>
              <w:shd w:fill="1F3864" w:val="clear"/>
              <w:bidi w:val="0"/>
              <w:spacing w:before="0" w:after="283"/>
              <w:jc w:val="left"/>
              <w:rPr/>
            </w:pPr>
            <w:r>
              <w:rPr/>
              <w:t>Related Requirement(s)</w:t>
            </w:r>
          </w:p>
        </w:tc>
      </w:tr>
      <w:tr>
        <w:trPr/>
        <w:tc>
          <w:tcPr>
            <w:tcW w:w="516" w:type="dxa"/>
            <w:tcBorders/>
            <w:vAlign w:val="center"/>
          </w:tcPr>
          <w:p>
            <w:pPr>
              <w:pStyle w:val="TableContents"/>
              <w:bidi w:val="0"/>
              <w:spacing w:before="0" w:after="283"/>
              <w:jc w:val="left"/>
              <w:rPr/>
            </w:pPr>
            <w:r>
              <w:rPr/>
              <w:t>AC-01</w:t>
            </w:r>
          </w:p>
        </w:tc>
        <w:tc>
          <w:tcPr>
            <w:tcW w:w="8672" w:type="dxa"/>
            <w:tcBorders/>
            <w:vAlign w:val="center"/>
          </w:tcPr>
          <w:p>
            <w:pPr>
              <w:pStyle w:val="TableContents"/>
              <w:bidi w:val="0"/>
              <w:spacing w:before="0" w:after="283"/>
              <w:jc w:val="left"/>
              <w:rPr/>
            </w:pPr>
            <w:r>
              <w:rPr/>
              <w:t>A user can log in with valid credentials and reach the dashboard; login with an incorrect password is denied.</w:t>
            </w:r>
          </w:p>
        </w:tc>
        <w:tc>
          <w:tcPr>
            <w:tcW w:w="2151" w:type="dxa"/>
            <w:tcBorders/>
            <w:vAlign w:val="center"/>
          </w:tcPr>
          <w:p>
            <w:pPr>
              <w:pStyle w:val="TableContents"/>
              <w:bidi w:val="0"/>
              <w:spacing w:before="0" w:after="283"/>
              <w:jc w:val="left"/>
              <w:rPr/>
            </w:pPr>
            <w:r>
              <w:rPr/>
              <w:t>FR-AUTH-01, FR-AUTH-02</w:t>
            </w:r>
          </w:p>
        </w:tc>
      </w:tr>
      <w:tr>
        <w:trPr/>
        <w:tc>
          <w:tcPr>
            <w:tcW w:w="516" w:type="dxa"/>
            <w:tcBorders/>
            <w:vAlign w:val="center"/>
          </w:tcPr>
          <w:p>
            <w:pPr>
              <w:pStyle w:val="TableContents"/>
              <w:bidi w:val="0"/>
              <w:spacing w:before="0" w:after="283"/>
              <w:jc w:val="left"/>
              <w:rPr/>
            </w:pPr>
            <w:r>
              <w:rPr/>
              <w:t>AC-02</w:t>
            </w:r>
          </w:p>
        </w:tc>
        <w:tc>
          <w:tcPr>
            <w:tcW w:w="8672" w:type="dxa"/>
            <w:tcBorders/>
            <w:vAlign w:val="center"/>
          </w:tcPr>
          <w:p>
            <w:pPr>
              <w:pStyle w:val="TableContents"/>
              <w:bidi w:val="0"/>
              <w:spacing w:before="0" w:after="283"/>
              <w:jc w:val="left"/>
              <w:rPr/>
            </w:pPr>
            <w:r>
              <w:rPr/>
              <w:t>An authorized user can create a company and a subsidiary linked to it; the relationship displays correctly in the company hierarchy.</w:t>
            </w:r>
          </w:p>
        </w:tc>
        <w:tc>
          <w:tcPr>
            <w:tcW w:w="2151" w:type="dxa"/>
            <w:tcBorders/>
            <w:vAlign w:val="center"/>
          </w:tcPr>
          <w:p>
            <w:pPr>
              <w:pStyle w:val="TableContents"/>
              <w:bidi w:val="0"/>
              <w:spacing w:before="0" w:after="283"/>
              <w:jc w:val="left"/>
              <w:rPr/>
            </w:pPr>
            <w:r>
              <w:rPr/>
              <w:t>FR-COMP-01–05</w:t>
            </w:r>
          </w:p>
        </w:tc>
      </w:tr>
      <w:tr>
        <w:trPr/>
        <w:tc>
          <w:tcPr>
            <w:tcW w:w="516" w:type="dxa"/>
            <w:tcBorders/>
            <w:vAlign w:val="center"/>
          </w:tcPr>
          <w:p>
            <w:pPr>
              <w:pStyle w:val="TableContents"/>
              <w:bidi w:val="0"/>
              <w:spacing w:before="0" w:after="283"/>
              <w:jc w:val="left"/>
              <w:rPr/>
            </w:pPr>
            <w:r>
              <w:rPr/>
              <w:t>AC-03</w:t>
            </w:r>
          </w:p>
        </w:tc>
        <w:tc>
          <w:tcPr>
            <w:tcW w:w="8672" w:type="dxa"/>
            <w:tcBorders/>
            <w:vAlign w:val="center"/>
          </w:tcPr>
          <w:p>
            <w:pPr>
              <w:pStyle w:val="TableContents"/>
              <w:bidi w:val="0"/>
              <w:spacing w:before="0" w:after="283"/>
              <w:jc w:val="left"/>
              <w:rPr/>
            </w:pPr>
            <w:r>
              <w:rPr/>
              <w:t>An administrator can create a user, assign a role, and confirm that the user's access is limited exactly to what that role permits.</w:t>
            </w:r>
          </w:p>
        </w:tc>
        <w:tc>
          <w:tcPr>
            <w:tcW w:w="2151" w:type="dxa"/>
            <w:tcBorders/>
            <w:vAlign w:val="center"/>
          </w:tcPr>
          <w:p>
            <w:pPr>
              <w:pStyle w:val="TableContents"/>
              <w:bidi w:val="0"/>
              <w:spacing w:before="0" w:after="283"/>
              <w:jc w:val="left"/>
              <w:rPr/>
            </w:pPr>
            <w:r>
              <w:rPr/>
              <w:t>FR-USER-01–08</w:t>
            </w:r>
          </w:p>
        </w:tc>
      </w:tr>
      <w:tr>
        <w:trPr/>
        <w:tc>
          <w:tcPr>
            <w:tcW w:w="516" w:type="dxa"/>
            <w:tcBorders/>
            <w:vAlign w:val="center"/>
          </w:tcPr>
          <w:p>
            <w:pPr>
              <w:pStyle w:val="TableContents"/>
              <w:bidi w:val="0"/>
              <w:spacing w:before="0" w:after="283"/>
              <w:jc w:val="left"/>
              <w:rPr/>
            </w:pPr>
            <w:r>
              <w:rPr/>
              <w:t>AC-04</w:t>
            </w:r>
          </w:p>
        </w:tc>
        <w:tc>
          <w:tcPr>
            <w:tcW w:w="8672" w:type="dxa"/>
            <w:tcBorders/>
            <w:vAlign w:val="center"/>
          </w:tcPr>
          <w:p>
            <w:pPr>
              <w:pStyle w:val="TableContents"/>
              <w:bidi w:val="0"/>
              <w:spacing w:before="0" w:after="283"/>
              <w:jc w:val="left"/>
              <w:rPr/>
            </w:pPr>
            <w:r>
              <w:rPr/>
              <w:t>A user without the required role/permission is denied access to a restricted report or module, and the denial is logged.</w:t>
            </w:r>
          </w:p>
        </w:tc>
        <w:tc>
          <w:tcPr>
            <w:tcW w:w="2151" w:type="dxa"/>
            <w:tcBorders/>
            <w:vAlign w:val="center"/>
          </w:tcPr>
          <w:p>
            <w:pPr>
              <w:pStyle w:val="TableContents"/>
              <w:bidi w:val="0"/>
              <w:spacing w:before="0" w:after="283"/>
              <w:jc w:val="left"/>
              <w:rPr/>
            </w:pPr>
            <w:r>
              <w:rPr/>
              <w:t>FR-USER-07, SEC-01, FR-AUDIT-01</w:t>
            </w:r>
          </w:p>
        </w:tc>
      </w:tr>
      <w:tr>
        <w:trPr/>
        <w:tc>
          <w:tcPr>
            <w:tcW w:w="516" w:type="dxa"/>
            <w:tcBorders/>
            <w:vAlign w:val="center"/>
          </w:tcPr>
          <w:p>
            <w:pPr>
              <w:pStyle w:val="TableContents"/>
              <w:bidi w:val="0"/>
              <w:spacing w:before="0" w:after="283"/>
              <w:jc w:val="left"/>
              <w:rPr/>
            </w:pPr>
            <w:r>
              <w:rPr/>
              <w:t>AC-05</w:t>
            </w:r>
          </w:p>
        </w:tc>
        <w:tc>
          <w:tcPr>
            <w:tcW w:w="8672" w:type="dxa"/>
            <w:tcBorders/>
            <w:vAlign w:val="center"/>
          </w:tcPr>
          <w:p>
            <w:pPr>
              <w:pStyle w:val="TableContents"/>
              <w:bidi w:val="0"/>
              <w:spacing w:before="0" w:after="283"/>
              <w:jc w:val="left"/>
              <w:rPr/>
            </w:pPr>
            <w:r>
              <w:rPr/>
              <w:t>An employee record can be created and retrieved with all required fields intact.</w:t>
            </w:r>
          </w:p>
        </w:tc>
        <w:tc>
          <w:tcPr>
            <w:tcW w:w="2151" w:type="dxa"/>
            <w:tcBorders/>
            <w:vAlign w:val="center"/>
          </w:tcPr>
          <w:p>
            <w:pPr>
              <w:pStyle w:val="TableContents"/>
              <w:bidi w:val="0"/>
              <w:spacing w:before="0" w:after="283"/>
              <w:jc w:val="left"/>
              <w:rPr/>
            </w:pPr>
            <w:r>
              <w:rPr/>
              <w:t>FR-EMP-01–06</w:t>
            </w:r>
          </w:p>
        </w:tc>
      </w:tr>
      <w:tr>
        <w:trPr/>
        <w:tc>
          <w:tcPr>
            <w:tcW w:w="516" w:type="dxa"/>
            <w:tcBorders/>
            <w:vAlign w:val="center"/>
          </w:tcPr>
          <w:p>
            <w:pPr>
              <w:pStyle w:val="TableContents"/>
              <w:bidi w:val="0"/>
              <w:spacing w:before="0" w:after="283"/>
              <w:jc w:val="left"/>
              <w:rPr/>
            </w:pPr>
            <w:r>
              <w:rPr/>
              <w:t>AC-06</w:t>
            </w:r>
          </w:p>
        </w:tc>
        <w:tc>
          <w:tcPr>
            <w:tcW w:w="8672" w:type="dxa"/>
            <w:tcBorders/>
            <w:vAlign w:val="center"/>
          </w:tcPr>
          <w:p>
            <w:pPr>
              <w:pStyle w:val="TableContents"/>
              <w:bidi w:val="0"/>
              <w:spacing w:before="0" w:after="283"/>
              <w:jc w:val="left"/>
              <w:rPr/>
            </w:pPr>
            <w:r>
              <w:rPr/>
              <w:t>A customer and a supplier record can each be created, edited and retrieved correctly.</w:t>
            </w:r>
          </w:p>
        </w:tc>
        <w:tc>
          <w:tcPr>
            <w:tcW w:w="2151" w:type="dxa"/>
            <w:tcBorders/>
            <w:vAlign w:val="center"/>
          </w:tcPr>
          <w:p>
            <w:pPr>
              <w:pStyle w:val="TableContents"/>
              <w:bidi w:val="0"/>
              <w:spacing w:before="0" w:after="283"/>
              <w:jc w:val="left"/>
              <w:rPr/>
            </w:pPr>
            <w:r>
              <w:rPr/>
              <w:t>FR-CUST-01–03, FR-SUPP-01–03</w:t>
            </w:r>
          </w:p>
        </w:tc>
      </w:tr>
      <w:tr>
        <w:trPr/>
        <w:tc>
          <w:tcPr>
            <w:tcW w:w="516" w:type="dxa"/>
            <w:tcBorders/>
            <w:vAlign w:val="center"/>
          </w:tcPr>
          <w:p>
            <w:pPr>
              <w:pStyle w:val="TableContents"/>
              <w:bidi w:val="0"/>
              <w:spacing w:before="0" w:after="283"/>
              <w:jc w:val="left"/>
              <w:rPr/>
            </w:pPr>
            <w:r>
              <w:rPr/>
              <w:t>AC-07</w:t>
            </w:r>
          </w:p>
        </w:tc>
        <w:tc>
          <w:tcPr>
            <w:tcW w:w="8672" w:type="dxa"/>
            <w:tcBorders/>
            <w:vAlign w:val="center"/>
          </w:tcPr>
          <w:p>
            <w:pPr>
              <w:pStyle w:val="TableContents"/>
              <w:bidi w:val="0"/>
              <w:spacing w:before="0" w:after="283"/>
              <w:jc w:val="left"/>
              <w:rPr/>
            </w:pPr>
            <w:r>
              <w:rPr/>
              <w:t>A product record can be created with a product code, category and unit of measurement.</w:t>
            </w:r>
          </w:p>
        </w:tc>
        <w:tc>
          <w:tcPr>
            <w:tcW w:w="2151" w:type="dxa"/>
            <w:tcBorders/>
            <w:vAlign w:val="center"/>
          </w:tcPr>
          <w:p>
            <w:pPr>
              <w:pStyle w:val="TableContents"/>
              <w:bidi w:val="0"/>
              <w:spacing w:before="0" w:after="283"/>
              <w:jc w:val="left"/>
              <w:rPr/>
            </w:pPr>
            <w:r>
              <w:rPr/>
              <w:t>FR-PROD-01–03</w:t>
            </w:r>
          </w:p>
        </w:tc>
      </w:tr>
      <w:tr>
        <w:trPr/>
        <w:tc>
          <w:tcPr>
            <w:tcW w:w="516" w:type="dxa"/>
            <w:tcBorders/>
            <w:vAlign w:val="center"/>
          </w:tcPr>
          <w:p>
            <w:pPr>
              <w:pStyle w:val="TableContents"/>
              <w:bidi w:val="0"/>
              <w:spacing w:before="0" w:after="283"/>
              <w:jc w:val="left"/>
              <w:rPr/>
            </w:pPr>
            <w:r>
              <w:rPr/>
              <w:t>AC-08</w:t>
            </w:r>
          </w:p>
        </w:tc>
        <w:tc>
          <w:tcPr>
            <w:tcW w:w="8672" w:type="dxa"/>
            <w:tcBorders/>
            <w:vAlign w:val="center"/>
          </w:tcPr>
          <w:p>
            <w:pPr>
              <w:pStyle w:val="TableContents"/>
              <w:bidi w:val="0"/>
              <w:spacing w:before="0" w:after="283"/>
              <w:jc w:val="left"/>
              <w:rPr/>
            </w:pPr>
            <w:r>
              <w:rPr/>
              <w:t>A balanced journal entry can be posted and correctly reflected in the general ledger; an unbalanced entry is rejected.</w:t>
            </w:r>
          </w:p>
        </w:tc>
        <w:tc>
          <w:tcPr>
            <w:tcW w:w="2151" w:type="dxa"/>
            <w:tcBorders/>
            <w:vAlign w:val="center"/>
          </w:tcPr>
          <w:p>
            <w:pPr>
              <w:pStyle w:val="TableContents"/>
              <w:bidi w:val="0"/>
              <w:spacing w:before="0" w:after="283"/>
              <w:jc w:val="left"/>
              <w:rPr/>
            </w:pPr>
            <w:r>
              <w:rPr/>
              <w:t>FR-ACC-01–03, BR-03</w:t>
            </w:r>
          </w:p>
        </w:tc>
      </w:tr>
      <w:tr>
        <w:trPr/>
        <w:tc>
          <w:tcPr>
            <w:tcW w:w="516" w:type="dxa"/>
            <w:tcBorders/>
            <w:vAlign w:val="center"/>
          </w:tcPr>
          <w:p>
            <w:pPr>
              <w:pStyle w:val="TableContents"/>
              <w:bidi w:val="0"/>
              <w:spacing w:before="0" w:after="283"/>
              <w:jc w:val="left"/>
              <w:rPr/>
            </w:pPr>
            <w:r>
              <w:rPr/>
              <w:t>AC-09</w:t>
            </w:r>
          </w:p>
        </w:tc>
        <w:tc>
          <w:tcPr>
            <w:tcW w:w="8672" w:type="dxa"/>
            <w:tcBorders/>
            <w:vAlign w:val="center"/>
          </w:tcPr>
          <w:p>
            <w:pPr>
              <w:pStyle w:val="TableContents"/>
              <w:bidi w:val="0"/>
              <w:spacing w:before="0" w:after="283"/>
              <w:jc w:val="left"/>
              <w:rPr/>
            </w:pPr>
            <w:r>
              <w:rPr/>
              <w:t>A trial balance report generated for a test company reconciles (total debits equal total credits).</w:t>
            </w:r>
          </w:p>
        </w:tc>
        <w:tc>
          <w:tcPr>
            <w:tcW w:w="2151" w:type="dxa"/>
            <w:tcBorders/>
            <w:vAlign w:val="center"/>
          </w:tcPr>
          <w:p>
            <w:pPr>
              <w:pStyle w:val="TableContents"/>
              <w:bidi w:val="0"/>
              <w:spacing w:before="0" w:after="283"/>
              <w:jc w:val="left"/>
              <w:rPr/>
            </w:pPr>
            <w:r>
              <w:rPr/>
              <w:t>FR-ACC-04</w:t>
            </w:r>
          </w:p>
        </w:tc>
      </w:tr>
      <w:tr>
        <w:trPr/>
        <w:tc>
          <w:tcPr>
            <w:tcW w:w="516" w:type="dxa"/>
            <w:tcBorders/>
            <w:vAlign w:val="center"/>
          </w:tcPr>
          <w:p>
            <w:pPr>
              <w:pStyle w:val="TableContents"/>
              <w:bidi w:val="0"/>
              <w:spacing w:before="0" w:after="283"/>
              <w:jc w:val="left"/>
              <w:rPr/>
            </w:pPr>
            <w:r>
              <w:rPr/>
              <w:t>AC-10</w:t>
            </w:r>
          </w:p>
        </w:tc>
        <w:tc>
          <w:tcPr>
            <w:tcW w:w="8672" w:type="dxa"/>
            <w:tcBorders/>
            <w:vAlign w:val="center"/>
          </w:tcPr>
          <w:p>
            <w:pPr>
              <w:pStyle w:val="TableContents"/>
              <w:bidi w:val="0"/>
              <w:spacing w:before="0" w:after="283"/>
              <w:jc w:val="left"/>
              <w:rPr/>
            </w:pPr>
            <w:r>
              <w:rPr/>
              <w:t>Every create/edit/delete action performed during UAT appears correctly in the audit trail with user, timestamp and before/after values, including actions that originated in a different service than the one being tested.</w:t>
            </w:r>
          </w:p>
        </w:tc>
        <w:tc>
          <w:tcPr>
            <w:tcW w:w="2151" w:type="dxa"/>
            <w:tcBorders/>
            <w:vAlign w:val="center"/>
          </w:tcPr>
          <w:p>
            <w:pPr>
              <w:pStyle w:val="TableContents"/>
              <w:bidi w:val="0"/>
              <w:spacing w:before="0" w:after="283"/>
              <w:jc w:val="left"/>
              <w:rPr/>
            </w:pPr>
            <w:r>
              <w:rPr/>
              <w:t>FR-AUDIT-01–03</w:t>
            </w:r>
          </w:p>
        </w:tc>
      </w:tr>
      <w:tr>
        <w:trPr/>
        <w:tc>
          <w:tcPr>
            <w:tcW w:w="516" w:type="dxa"/>
            <w:tcBorders/>
            <w:vAlign w:val="center"/>
          </w:tcPr>
          <w:p>
            <w:pPr>
              <w:pStyle w:val="TableContents"/>
              <w:bidi w:val="0"/>
              <w:spacing w:before="0" w:after="283"/>
              <w:jc w:val="left"/>
              <w:rPr/>
            </w:pPr>
            <w:r>
              <w:rPr/>
              <w:t>AC-11</w:t>
            </w:r>
          </w:p>
        </w:tc>
        <w:tc>
          <w:tcPr>
            <w:tcW w:w="8672" w:type="dxa"/>
            <w:tcBorders/>
            <w:vAlign w:val="center"/>
          </w:tcPr>
          <w:p>
            <w:pPr>
              <w:pStyle w:val="TableContents"/>
              <w:bidi w:val="0"/>
              <w:spacing w:before="0" w:after="283"/>
              <w:jc w:val="left"/>
              <w:rPr/>
            </w:pPr>
            <w:r>
              <w:rPr/>
              <w:t>All Section 5 (Non-Functional) and Section 7 (Security) requirements marked "Must" are demonstrated as met before go-live sign-off.</w:t>
            </w:r>
          </w:p>
        </w:tc>
        <w:tc>
          <w:tcPr>
            <w:tcW w:w="2151" w:type="dxa"/>
            <w:tcBorders/>
            <w:vAlign w:val="center"/>
          </w:tcPr>
          <w:p>
            <w:pPr>
              <w:pStyle w:val="TableContents"/>
              <w:bidi w:val="0"/>
              <w:spacing w:before="0" w:after="283"/>
              <w:jc w:val="left"/>
              <w:rPr/>
            </w:pPr>
            <w:r>
              <w:rPr/>
              <w:t>Section 5, Section 7</w:t>
            </w:r>
          </w:p>
        </w:tc>
      </w:tr>
    </w:tbl>
    <w:p>
      <w:pPr>
        <w:pStyle w:val="Heading2"/>
        <w:bidi w:val="0"/>
        <w:jc w:val="left"/>
        <w:rPr/>
      </w:pPr>
      <w:r>
        <w:rPr/>
        <w:t>12. Out of Scope for Phase 1</w:t>
      </w:r>
    </w:p>
    <w:p>
      <w:pPr>
        <w:pStyle w:val="BodyText"/>
        <w:bidi w:val="0"/>
        <w:spacing w:before="150" w:after="150"/>
        <w:ind w:hanging="0" w:left="150" w:right="150"/>
        <w:jc w:val="left"/>
        <w:rPr>
          <w:sz w:val="21"/>
          <w:bdr w:val="single" w:sz="24" w:space="9" w:color="B33A3A"/>
          <w:shd w:fill="FBEAEA" w:val="clear"/>
        </w:rPr>
      </w:pPr>
      <w:r>
        <w:rPr>
          <w:sz w:val="21"/>
          <w:bdr w:val="single" w:sz="24" w:space="9" w:color="B33A3A"/>
          <w:shd w:fill="FBEAEA" w:val="clear"/>
        </w:rPr>
        <w:t xml:space="preserve">The following are explicitly out of scope for this SRS and Phase 1: </w:t>
      </w:r>
    </w:p>
    <w:p>
      <w:pPr>
        <w:pStyle w:val="BodyText"/>
        <w:numPr>
          <w:ilvl w:val="0"/>
          <w:numId w:val="6"/>
        </w:numPr>
        <w:tabs>
          <w:tab w:val="clear" w:pos="1134"/>
          <w:tab w:val="left" w:pos="859" w:leader="none"/>
        </w:tabs>
        <w:bidi w:val="0"/>
        <w:spacing w:before="150" w:after="150"/>
        <w:ind w:hanging="283" w:left="859" w:right="150"/>
        <w:jc w:val="left"/>
        <w:rPr>
          <w:sz w:val="21"/>
          <w:bdr w:val="single" w:sz="24" w:space="9" w:color="B33A3A"/>
          <w:shd w:fill="FBEAEA" w:val="clear"/>
        </w:rPr>
      </w:pPr>
      <w:r>
        <w:rPr>
          <w:b/>
          <w:sz w:val="21"/>
          <w:bdr w:val="single" w:sz="24" w:space="9" w:color="B33A3A"/>
          <w:shd w:fill="FBEAEA" w:val="clear"/>
        </w:rPr>
        <w:t>Phase 2:</w:t>
      </w:r>
      <w:r>
        <w:rPr>
          <w:sz w:val="21"/>
          <w:bdr w:val="single" w:sz="24" w:space="9" w:color="B33A3A"/>
          <w:shd w:fill="FBEAEA" w:val="clear"/>
        </w:rPr>
        <w:t xml:space="preserve"> Sales, procurement, inventory, warehouse, expenses, assets, projects </w:t>
      </w:r>
    </w:p>
    <w:p>
      <w:pPr>
        <w:pStyle w:val="BodyText"/>
      </w:pPr>
      <w:r>
        <w:t>Sprint 12 update (18 August 2026): the Project Management slice of this Phase 2 list was pulled forward and built — see Section 4.14. Sales, Procurement, Inventory and Warehouse remain fully deferred, unchanged.</w:t>
      </w:r>
    </w:p>
    <w:p>
      <w:pPr>
        <w:pStyle w:val="BodyText"/>
      </w:pPr>
      <w:r>
        <w:t>Sprint 11 update (18 August 2026): the Asset Management slice of this Phase 2 list was pulled forward and built — see Section 4.13. Sales, Procurement, Inventory, Warehouse and Projects remain fully deferred, unchanged.</w:t>
      </w:r>
    </w:p>
    <w:p>
      <w:pPr>
        <w:pStyle w:val="BodyText"/>
      </w:pPr>
      <w:r>
        <w:t>Sprint 9 update (18 August 2026): the Expense Management slice of this Phase 2 list was pulled forward and built — see Section 4.12. Sales, Procurement, Inventory, Warehouse, Assets and Projects remain fully deferred, unchanged.</w:t>
      </w:r>
    </w:p>
    <w:p>
      <w:pPr>
        <w:pStyle w:val="BodyText"/>
        <w:numPr>
          <w:ilvl w:val="0"/>
          <w:numId w:val="6"/>
        </w:numPr>
        <w:tabs>
          <w:tab w:val="clear" w:pos="1134"/>
          <w:tab w:val="left" w:pos="859" w:leader="none"/>
        </w:tabs>
        <w:bidi w:val="0"/>
        <w:spacing w:before="150" w:after="150"/>
        <w:ind w:hanging="283" w:left="859" w:right="150"/>
        <w:jc w:val="left"/>
        <w:rPr>
          <w:sz w:val="21"/>
          <w:bdr w:val="single" w:sz="24" w:space="9" w:color="B33A3A"/>
          <w:shd w:fill="FBEAEA" w:val="clear"/>
        </w:rPr>
      </w:pPr>
      <w:r>
        <w:rPr>
          <w:b/>
          <w:sz w:val="21"/>
          <w:bdr w:val="single" w:sz="24" w:space="9" w:color="B33A3A"/>
          <w:shd w:fill="FBEAEA" w:val="clear"/>
        </w:rPr>
        <w:t>Phase 3:</w:t>
      </w:r>
      <w:r>
        <w:rPr>
          <w:sz w:val="21"/>
          <w:bdr w:val="single" w:sz="24" w:space="9" w:color="B33A3A"/>
          <w:shd w:fill="FBEAEA" w:val="clear"/>
        </w:rPr>
        <w:t xml:space="preserve"> Payroll, budgeting, banking, loans, investments, tax management, inter-company transactions, consolidated accounting, financial statements </w:t>
      </w:r>
    </w:p>
    <w:p>
      <w:pPr>
        <w:pStyle w:val="BodyText"/>
      </w:pPr>
      <w:r>
        <w:t>Sprint 10 update (18 August 2026): the "consolidated accounting, financial statements" slice of this Phase 3 list was pulled forward and built — see Section 4.9, FR-ACC-08/09. Payroll, budgeting, banking, loans, investments, tax management and inter-company transactions remain fully deferred, unchanged.</w:t>
      </w:r>
    </w:p>
    <w:p>
      <w:pPr>
        <w:pStyle w:val="BodyText"/>
        <w:numPr>
          <w:ilvl w:val="0"/>
          <w:numId w:val="6"/>
        </w:numPr>
        <w:tabs>
          <w:tab w:val="clear" w:pos="1134"/>
          <w:tab w:val="left" w:pos="859" w:leader="none"/>
        </w:tabs>
        <w:bidi w:val="0"/>
        <w:spacing w:before="150" w:after="150"/>
        <w:ind w:hanging="283" w:left="859" w:right="150"/>
        <w:jc w:val="left"/>
        <w:rPr>
          <w:sz w:val="21"/>
          <w:bdr w:val="single" w:sz="24" w:space="9" w:color="B33A3A"/>
          <w:shd w:fill="FBEAEA" w:val="clear"/>
        </w:rPr>
      </w:pPr>
      <w:r>
        <w:rPr>
          <w:b/>
          <w:sz w:val="21"/>
          <w:bdr w:val="single" w:sz="24" w:space="9" w:color="B33A3A"/>
          <w:shd w:fill="FBEAEA" w:val="clear"/>
        </w:rPr>
        <w:t>Phase 4:</w:t>
      </w:r>
      <w:r>
        <w:rPr>
          <w:sz w:val="21"/>
          <w:bdr w:val="single" w:sz="24" w:space="9" w:color="B33A3A"/>
          <w:shd w:fill="FBEAEA" w:val="clear"/>
        </w:rPr>
        <w:t xml:space="preserve"> Full HR, CRM, contracts, legal, compliance management, board/governance module, document management, business intelligence </w:t>
      </w:r>
    </w:p>
    <w:p>
      <w:pPr>
        <w:pStyle w:val="BodyText"/>
        <w:numPr>
          <w:ilvl w:val="0"/>
          <w:numId w:val="6"/>
        </w:numPr>
        <w:tabs>
          <w:tab w:val="clear" w:pos="1134"/>
          <w:tab w:val="left" w:pos="859" w:leader="none"/>
        </w:tabs>
        <w:bidi w:val="0"/>
        <w:spacing w:before="150" w:after="150"/>
        <w:ind w:hanging="283" w:left="859" w:right="150"/>
        <w:jc w:val="left"/>
        <w:rPr>
          <w:sz w:val="21"/>
          <w:bdr w:val="single" w:sz="24" w:space="9" w:color="B33A3A"/>
          <w:shd w:fill="FBEAEA" w:val="clear"/>
        </w:rPr>
      </w:pPr>
      <w:r>
        <w:rPr>
          <w:b/>
          <w:sz w:val="21"/>
          <w:bdr w:val="single" w:sz="24" w:space="9" w:color="B33A3A"/>
          <w:shd w:fill="FBEAEA" w:val="clear"/>
        </w:rPr>
        <w:t>Phase 5:</w:t>
      </w:r>
      <w:r>
        <w:rPr>
          <w:sz w:val="21"/>
          <w:bdr w:val="single" w:sz="24" w:space="9" w:color="B33A3A"/>
          <w:shd w:fill="FBEAEA" w:val="clear"/>
        </w:rPr>
        <w:t xml:space="preserve"> Mobile interface, external APIs for third parties, payment/bank integration, self-hosted mail server (iRedMail), two-factor authentication (Could), advanced analytics </w:t>
      </w:r>
    </w:p>
    <w:p>
      <w:pPr>
        <w:pStyle w:val="BodyText"/>
        <w:bidi w:val="0"/>
        <w:spacing w:before="90" w:after="283"/>
        <w:ind w:hanging="0" w:left="150" w:right="150"/>
        <w:jc w:val="left"/>
        <w:rPr>
          <w:sz w:val="21"/>
          <w:bdr w:val="single" w:sz="24" w:space="9" w:color="B33A3A"/>
          <w:shd w:fill="FBEAEA" w:val="clear"/>
        </w:rPr>
      </w:pPr>
      <w:r>
        <w:rPr>
          <w:sz w:val="21"/>
          <w:bdr w:val="single" w:sz="24" w:space="9" w:color="B33A3A"/>
          <w:shd w:fill="FBEAEA" w:val="clear"/>
        </w:rPr>
        <w:t xml:space="preserve">Note: the microservices decomposition, Kafka event streaming and observability stack that an earlier version of this SRS deferred to later phases are </w:t>
      </w:r>
      <w:r>
        <w:rPr>
          <w:b/>
          <w:sz w:val="21"/>
          <w:bdr w:val="single" w:sz="24" w:space="9" w:color="B33A3A"/>
          <w:shd w:fill="FBEAEA" w:val="clear"/>
        </w:rPr>
        <w:t>now in scope for Phase 1 itself</w:t>
      </w:r>
      <w:r>
        <w:rPr>
          <w:sz w:val="21"/>
          <w:bdr w:val="single" w:sz="24" w:space="9" w:color="B33A3A"/>
          <w:shd w:fill="FBEAEA" w:val="clear"/>
        </w:rPr>
        <w:t>, per 07_System Design Document (v2.0). What remains deferred is business functionality (the phase list above), not the underlying platform architecture.</w:t>
      </w:r>
    </w:p>
    <w:p>
      <w:pPr>
        <w:pStyle w:val="Heading2"/>
        <w:bidi w:val="0"/>
        <w:ind w:hanging="0"/>
        <w:jc w:val="left"/>
        <w:rPr/>
      </w:pPr>
      <w:r>
        <w:rPr/>
        <w:t>13. Approval</w:t>
      </w:r>
    </w:p>
    <w:p>
      <w:pPr>
        <w:pStyle w:val="BodyText"/>
        <w:bidi w:val="0"/>
        <w:jc w:val="left"/>
        <w:rPr/>
      </w:pPr>
      <w:r>
        <w:rPr/>
        <w:t>Submitted for Board approval as the requirements baseline for Phase 1 development, and for review by the engaged development team/technology partner before design begins.</w:t>
      </w:r>
    </w:p>
    <w:p>
      <w:pPr>
        <w:pStyle w:val="BodyText"/>
        <w:bidi w:val="0"/>
        <w:spacing w:before="150" w:after="283"/>
        <w:ind w:hanging="0" w:left="0" w:right="0"/>
        <w:jc w:val="left"/>
        <w:rPr>
          <w:b/>
        </w:rPr>
      </w:pPr>
      <w:r>
        <w:rPr>
          <w:b/>
        </w:rPr>
        <w:t>Obeke Godfrey</w:t>
      </w:r>
    </w:p>
    <w:p>
      <w:pPr>
        <w:pStyle w:val="BodyText"/>
        <w:bidi w:val="0"/>
        <w:spacing w:before="600" w:after="283"/>
        <w:ind w:hanging="0" w:left="0" w:right="0"/>
        <w:jc w:val="left"/>
        <w:rPr>
          <w:sz w:val="21"/>
          <w:bdr w:val="single" w:sz="2" w:space="3" w:color="333333"/>
        </w:rPr>
      </w:pPr>
      <w:r>
        <w:rPr>
          <w:sz w:val="21"/>
          <w:bdr w:val="single" w:sz="2" w:space="3" w:color="333333"/>
        </w:rPr>
        <w:t>Director — Prepared by — Signature &amp; Date</w:t>
      </w:r>
    </w:p>
    <w:p>
      <w:pPr>
        <w:pStyle w:val="BodyText"/>
        <w:bidi w:val="0"/>
        <w:spacing w:before="150" w:after="283"/>
        <w:ind w:hanging="0" w:left="0" w:right="0"/>
        <w:jc w:val="left"/>
        <w:rPr>
          <w:b/>
        </w:rPr>
      </w:pPr>
      <w:r>
        <w:rPr>
          <w:b/>
        </w:rPr>
        <w:t>Okurut Mathias</w:t>
      </w:r>
    </w:p>
    <w:p>
      <w:pPr>
        <w:pStyle w:val="BodyText"/>
        <w:bidi w:val="0"/>
        <w:spacing w:before="600" w:after="283"/>
        <w:ind w:hanging="0" w:left="0" w:right="0"/>
        <w:jc w:val="left"/>
        <w:rPr>
          <w:sz w:val="21"/>
          <w:bdr w:val="single" w:sz="2" w:space="3" w:color="333333"/>
        </w:rPr>
      </w:pPr>
      <w:r>
        <w:rPr>
          <w:sz w:val="21"/>
          <w:bdr w:val="single" w:sz="2" w:space="3" w:color="333333"/>
        </w:rPr>
        <w:t>Managing Director — Approved by — Signature &amp; Date</w:t>
      </w:r>
    </w:p>
    <w:p>
      <w:pPr>
        <w:pStyle w:val="BodyText"/>
        <w:bidi w:val="0"/>
        <w:spacing w:before="450" w:after="283"/>
        <w:ind w:hanging="0" w:left="0" w:right="0"/>
        <w:jc w:val="left"/>
        <w:rPr>
          <w:color w:val="666666"/>
          <w:sz w:val="18"/>
          <w:bdr w:val="single" w:sz="2" w:space="5" w:color="CCCCCC"/>
        </w:rPr>
      </w:pPr>
      <w:r>
        <w:rPr>
          <w:color w:val="666666"/>
          <w:sz w:val="18"/>
          <w:bdr w:val="single" w:sz="2" w:space="5" w:color="CCCCCC"/>
        </w:rPr>
        <w:t xml:space="preserve">Prepared with reference to: Board Resolution for Morise Holdings Limited (14 June 2019); Morise Holdings Limited Business Management System scope document (morise.docx); Multi Holdings Limited Software Development Procedures and Implementation Blueprint; 01_Project Proposal, 02_Project Charter, 03_Feasibility Study, 07_System Design Document (v2.0). Non-functional targets in Section 5 are proposed planning targets pending confirmation by the engaged development partner. </w:t>
      </w:r>
    </w:p>
    <w:p>
      <w:pPr>
        <w:pStyle w:val="Heading1"/>
      </w:pPr>
      <w:r>
        <w:t>14. Implementation Status Update (18 August 2026)</w:t>
      </w:r>
    </w:p>
    <w:p>
      <w:r>
        <w:t>Sprint 1 (Identity Service) and Sprint 2 (Organization Service) of Phase 1 have been implemented and verified by hand (curl) and by automated browser testing (Playwright, three role logins). Status against this SRS's requirement IDs: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02"/>
        <w:gridCol w:w="5102"/>
      </w:tblGrid>
      <w:tr>
        <w:tc>
          <w:tcPr>
            <w:tcW w:type="dxa" w:w="5102"/>
          </w:tcPr>
          <w:p>
            <w:r>
              <w:rPr>
                <w:b/>
              </w:rPr>
              <w:t>Status</w:t>
            </w:r>
          </w:p>
        </w:tc>
        <w:tc>
          <w:tcPr>
            <w:tcW w:type="dxa" w:w="5102"/>
          </w:tcPr>
          <w:p>
            <w:r>
              <w:rPr>
                <w:b/>
              </w:rPr>
              <w:t>Requirement IDs</w:t>
            </w:r>
          </w:p>
        </w:tc>
      </w:tr>
      <w:tr>
        <w:tc>
          <w:tcPr>
            <w:tcW w:type="dxa" w:w="5102"/>
          </w:tcPr>
          <w:p>
            <w:r>
              <w:t>Implemented</w:t>
            </w:r>
          </w:p>
        </w:tc>
        <w:tc>
          <w:tcPr>
            <w:tcW w:type="dxa" w:w="5102"/>
          </w:tcPr>
          <w:p>
            <w:r>
              <w:t>FR-AUTH-01, 02, 05, 06; FR-COMP-01, 02, 04, 05, 07, 08, 09; FR-USER-01, 02, 04, 05, 07; BR-01, BR-02, BR-06; SEC-01, SEC-02, SEC-05; NFR-09</w:t>
            </w:r>
          </w:p>
        </w:tc>
      </w:tr>
      <w:tr>
        <w:tc>
          <w:tcPr>
            <w:tcW w:type="dxa" w:w="5102"/>
          </w:tcPr>
          <w:p>
            <w:r>
              <w:t>Partially implemented</w:t>
            </w:r>
          </w:p>
        </w:tc>
        <w:tc>
          <w:tcPr>
            <w:tcW w:type="dxa" w:w="5102"/>
          </w:tcPr>
          <w:p>
            <w:r>
              <w:t>FR-AUTH-03 (request/confirm flow works; reset link is logged to console, not emailed — no email service wired yet, consistent with INT-01 being a lower priority); FR-AUTH-04 (minimum length only, no complexity rule); FR-COMP-03 (no distinct affiliate/associate company type — parent/child only); FR-COMP-06 (no logo or document upload); FR-USER-03 (name fields only, not full profile); FR-USER-06 (role assignment works; direct per-user permission grants bypassing a role are not implemented)</w:t>
            </w:r>
          </w:p>
        </w:tc>
      </w:tr>
      <w:tr>
        <w:tc>
          <w:tcPr>
            <w:tcW w:type="dxa" w:w="5102"/>
          </w:tcPr>
          <w:p>
            <w:r>
              <w:t>Not implemented / not yet applicable</w:t>
            </w:r>
          </w:p>
        </w:tc>
        <w:tc>
          <w:tcPr>
            <w:tcW w:type="dxa" w:w="5102"/>
          </w:tcPr>
          <w:p>
            <w:r>
              <w:t>FR-DASH-01–04; FR-EMP-01–06; FR-CUST-01–03; FR-SUPP-01–03; FR-PROD-01–03; FR-ACC-01–07; FR-AUDIT-01–03 (all deferred to Sprints 3–6 per 17_Development Plan); FR-USER-08 (no financial/sensitive fields exist in this slice yet); NFR-08 (local development only, no TLS termination yet)</w:t>
            </w:r>
          </w:p>
        </w:tc>
      </w:tr>
    </w:tbl>
    <w:p/>
    <w:p>
      <w:r>
        <w:t>Architecture gap — please read before relying on this update: the Group's own document set (07_System Design Document v2.0, ADR-02/03/04/05) records that Phase 1 was directed to be built as a full microservices architecture — eight independently deployable services plus an API Gateway, Kafka event streaming, a database-per-service pattern, and a full observability stack — superseding an earlier modular-monolith recommendation (03_Feasibility Study, Section 3.1.1). What is described below is that earlier, superseded monolith approach: a single NestJS application against one PostgreSQL database, with no API Gateway, no Kafka, no per-service databases, and no observability stack. It is offered as a fast proof-of-concept that validates the Sprint 1+2 business logic and data model end-to-end, not as a conforming implementation of the currently-approved architecture. Decomposing it into true microservices remains substantial, unstarted work.</w:t>
      </w:r>
    </w:p>
    <w:p>
      <w:r>
        <w:t>Verified specifically: BR-01 (a Branch Manager scoped to Morise Agro Ltd receives 403 FORBIDDEN listing all companies, and 404 NOT_FOUND opening Morise Holdings Limited directly by ID — not 403, matching Section 2.5's stated reasoning that a resource outside scope should not confirm its own existence); BR-02 (creating a second root company without a parent is rejected with CONFLICT); FR-AUTH-06 (account locks after 5 failed attempts for 15 minutes); refresh-token rotation (a used refresh token cannot be reused). Code lives in mbms/, alongside this documentation set (docx/) and the Administrator/Customer mockups (screenshots/). See mbms/README.md for exact run instructions and seeded demo credentials.</w:t>
      </w:r>
    </w:p>
    <w:p>
      <w:pPr>
        <w:pStyle w:val="Heading1"/>
      </w:pPr>
      <w:r>
        <w:t>15. Implementation Status Update 2 (18 August 2026)</w:t>
      </w:r>
    </w:p>
    <w:p>
      <w:r>
        <w:t>Employee and Basic Accounting requirement status, following on from the Sprint 1+2 table above:</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02"/>
        <w:gridCol w:w="5102"/>
      </w:tblGrid>
      <w:tr>
        <w:tc>
          <w:tcPr>
            <w:tcW w:type="dxa" w:w="5102"/>
          </w:tcPr>
          <w:p>
            <w:r>
              <w:rPr>
                <w:b/>
              </w:rPr>
              <w:t>Status</w:t>
            </w:r>
          </w:p>
        </w:tc>
        <w:tc>
          <w:tcPr>
            <w:tcW w:type="dxa" w:w="5102"/>
          </w:tcPr>
          <w:p>
            <w:r>
              <w:rPr>
                <w:b/>
              </w:rPr>
              <w:t>Requirement IDs</w:t>
            </w:r>
          </w:p>
        </w:tc>
      </w:tr>
      <w:tr>
        <w:tc>
          <w:tcPr>
            <w:tcW w:type="dxa" w:w="5102"/>
          </w:tcPr>
          <w:p>
            <w:r>
              <w:t>Implemented</w:t>
            </w:r>
          </w:p>
        </w:tc>
        <w:tc>
          <w:tcPr>
            <w:tcW w:type="dxa" w:w="5102"/>
          </w:tcPr>
          <w:p>
            <w:r>
              <w:t>FR-EMP-01; FR-USER-08 (now applicable and enforced — bank/tax fields masked unless the caller holds employee.view.sensitive); FR-ACC-01, 02, 03, 04, 05; BR-03, BR-04; FR-DASH-01, 02, 03</w:t>
            </w:r>
          </w:p>
        </w:tc>
      </w:tr>
      <w:tr>
        <w:tc>
          <w:tcPr>
            <w:tcW w:type="dxa" w:w="5102"/>
          </w:tcPr>
          <w:p>
            <w:r>
              <w:t>Partially implemented</w:t>
            </w:r>
          </w:p>
        </w:tc>
        <w:tc>
          <w:tcPr>
            <w:tcW w:type="dxa" w:w="5102"/>
          </w:tcPr>
          <w:p>
            <w:r>
              <w:t>FR-EMP-02 (start date/contract type only, no full employment history); FR-EMP-04 (next of kin/emergency contact fields exist, not yet on the create form's UI); FR-EMP-05 (bank/tax fields exist and are masked, but not encrypted at rest as the database doc's Section 5 specifies); FR-ACC-06 (opening balances entered as an ordinary journal entry via the seed script, not through a dedicated POST /accounting/opening-balances endpoint)</w:t>
            </w:r>
          </w:p>
        </w:tc>
      </w:tr>
      <w:tr>
        <w:tc>
          <w:tcPr>
            <w:tcW w:type="dxa" w:w="5102"/>
          </w:tcPr>
          <w:p>
            <w:r>
              <w:t>Not implemented</w:t>
            </w:r>
          </w:p>
        </w:tc>
        <w:tc>
          <w:tcPr>
            <w:tcW w:type="dxa" w:w="5102"/>
          </w:tcPr>
          <w:p>
            <w:r>
              <w:t>FR-EMP-03 (qualifications), FR-EMP-06 (document upload — no object storage wired); FR-ACC-07 (recurring/adjusting entries); FR-DASH-04 (recent activity — needs the audit trail, which needs Kafka)</w:t>
            </w:r>
          </w:p>
        </w:tc>
      </w:tr>
    </w:tbl>
    <w:p/>
    <w:p>
      <w:r>
        <w:t>FR-AUDIT-01–03 remain entirely unimplemented and are now the most consequential gap: Employees and Accounting both generate exactly the kind of create/edit/approve actions FR-AUDIT-01 says must be captured, and none of them are, because the Audit &amp; Reporting Service this SRS assigns that responsibility to doesn't exist in this slice.</w:t>
      </w:r>
    </w:p>
    <w:p>
      <w:r>
        <w:t>Architecture note, unchanged from the previous update: this remains the superseded v1.0 modular-monolith approach — one NestJS application, one PostgreSQL database, no API Gateway, no Kafka, no per-service databases, no observability stack — not the microservices architecture 07_System Design Document (v2.0) records as the Group's actual direction. Employees and Accounting were added as two more modules of that same application, not as new independent services. See mbms/README.md for exact run instructions and seeded demo credentials.</w:t>
      </w:r>
    </w:p>
    <w:p>
      <w:pPr>
        <w:pStyle w:val="Heading1"/>
      </w:pPr>
      <w:r>
        <w:t>16. Implementation Status Update 3 (18 August 2026)</w:t>
      </w:r>
    </w:p>
    <w:p>
      <w:r>
        <w:t>Customer and Supplier requirement status: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02"/>
        <w:gridCol w:w="5102"/>
      </w:tblGrid>
      <w:tr>
        <w:tc>
          <w:tcPr>
            <w:tcW w:type="dxa" w:w="5102"/>
          </w:tcPr>
          <w:p>
            <w:r>
              <w:rPr>
                <w:b/>
              </w:rPr>
              <w:t>Status</w:t>
            </w:r>
          </w:p>
        </w:tc>
        <w:tc>
          <w:tcPr>
            <w:tcW w:type="dxa" w:w="5102"/>
          </w:tcPr>
          <w:p>
            <w:r>
              <w:rPr>
                <w:b/>
              </w:rPr>
              <w:t>Requirement IDs</w:t>
            </w:r>
          </w:p>
        </w:tc>
      </w:tr>
      <w:tr>
        <w:tc>
          <w:tcPr>
            <w:tcW w:type="dxa" w:w="5102"/>
          </w:tcPr>
          <w:p>
            <w:r>
              <w:t>Implemented</w:t>
            </w:r>
          </w:p>
        </w:tc>
        <w:tc>
          <w:tcPr>
            <w:tcW w:type="dxa" w:w="5102"/>
          </w:tcPr>
          <w:p>
            <w:r>
              <w:t>FR-CUST-01, FR-CUST-02; FR-SUPP-01, FR-SUPP-03; FR-DASH-01's customer/supplier counts (retrofitted into the dashboard added in the previous update)</w:t>
            </w:r>
          </w:p>
        </w:tc>
      </w:tr>
      <w:tr>
        <w:tc>
          <w:tcPr>
            <w:tcW w:type="dxa" w:w="5102"/>
          </w:tcPr>
          <w:p>
            <w:r>
              <w:t>Partially implemented</w:t>
            </w:r>
          </w:p>
        </w:tc>
        <w:tc>
          <w:tcPr>
            <w:tcW w:type="dxa" w:w="5102"/>
          </w:tcPr>
          <w:p>
            <w:r>
              <w:t>FR-CUST-03 (statement endpoint exists and is called correctly, but always returns empty — no Sales/Invoicing service exists yet to generate transactions, so this is honest scaffolding, not a working statement); FR-SUPP-02 (tax ID and bank name/account fields exist and are masked per the same FR-USER-08-style pattern as employees, but contracts and document upload are not implemented)</w:t>
            </w:r>
          </w:p>
        </w:tc>
      </w:tr>
      <w:tr>
        <w:tc>
          <w:tcPr>
            <w:tcW w:type="dxa" w:w="5102"/>
          </w:tcPr>
          <w:p>
            <w:r>
              <w:t>Not implemented</w:t>
            </w:r>
          </w:p>
        </w:tc>
        <w:tc>
          <w:tcPr>
            <w:tcW w:type="dxa" w:w="5102"/>
          </w:tcPr>
          <w:p>
            <w:r>
              <w:t>Supplier document upload (no object storage, same gap as FR-EMP-06)</w:t>
            </w:r>
          </w:p>
        </w:tc>
      </w:tr>
    </w:tbl>
    <w:p/>
    <w:p>
      <w:r>
        <w:t>Section 12's 'Out of Scope for Phase 1' list already correctly excludes anything these two services would need beyond master-data records (quotations, sales orders, purchase orders — all explicitly Phase 2). Nothing in this update expands scope beyond what Section 2.2 already defined as Phase 1.</w:t>
      </w:r>
    </w:p>
    <w:p>
      <w:r>
        <w:t>Architecture note, unchanged from the previous two updates: Customers and Suppliers were added as two more modules of the same single NestJS application — still not the microservices architecture 07_System Design Document (v2.0) records as the Group's actual direction. See mbms/README.md for exact run instructions and seeded demo credentials.</w:t>
      </w:r>
    </w:p>
    <w:p>
      <w:pPr>
        <w:pStyle w:val="Heading1"/>
      </w:pPr>
      <w:r>
        <w:t>17. Implementation Status Update 4 (18 August 2026)</w:t>
      </w:r>
    </w:p>
    <w:p>
      <w:r>
        <w:t>Product requirement status: FR-PROD-01 (Implemented — product code, category, unit of measure), FR-PROD-02 (Implemented — barcode field, captured but not scanner-integrated, which was never in Phase 1 scope), FR-PROD-03 (Implemented — configurable unit of measure per product). All three Product requirements are now fully implemented, unlike every other Phase 1 entity group, which each still carry at least one partial or missing sub-requirement (see the previous three updates).</w:t>
      </w:r>
    </w:p>
    <w:p>
      <w:r>
        <w:t>Section 2.2's Phase 1 scope boundary is now fully built except FR-AUDIT-01–03 (System Audit Trail) and FR-DASH-04 (recent activity), both blocked on the same missing Kafka/Audit &amp; Reporting Service infrastructure flagged in every previous update. Every other Phase 1 requirement group (Authentication, Company/Group, User/Role, Employee, Customer, Supplier, Product, Basic Accounting, Dashboard minus FR-DASH-04) now has at least a partial implementation.</w:t>
      </w:r>
    </w:p>
    <w:p>
      <w:r>
        <w:t>Architecture note, unchanged since the first update: Products was added as one more module of the same single NestJS application — still not the microservices architecture 07_System Design Document (v2.0) records as the Group's actual direction. See mbms/README.md for exact run instructions and seeded demo credentials.</w:t>
      </w:r>
    </w:p>
    <w:p>
      <w:pPr>
        <w:pStyle w:val="Heading1"/>
      </w:pPr>
      <w:r>
        <w:t>18. Implementation Status Update 5 (18 August 2026) — Phase 1 Module List Complete</w:t>
      </w:r>
    </w:p>
    <w:p>
      <w:r>
        <w:t>FR-AUDIT-01: Partially implemented — captures user, company, entity type/ID, action, before/after values and timestamp for a representative set of mutations across every service (at least one per service, per TC-023's intent), plus every access_denied event across the entire system (captured centrally, comprehensively, by PermissionsGuard — this one sub-requirement is fully covered, not just representative). IP address is captured only for access_denied events, not yet for regular mutations. FR-AUDIT-02: Implemented — GET /audit/logs, filterable by user, date range, company and action type. FR-AUDIT-03: Implemented at the application layer — no update/delete endpoint exists anywhere for audit_logs — but not yet at the database role-grant level 08_Database Design Document, Section 10.1 also specifies.</w:t>
      </w:r>
    </w:p>
    <w:p>
      <w:r>
        <w:t>Section 2.2's Phase 1 scope boundary is now fully built for the first time — every requirement group has at least partial implementation. FR-DASH-04 (recent activity), the one sub-requirement blocked in every previous update specifically because it needed the audit trail, is now also implemented.</w:t>
      </w:r>
    </w:p>
    <w:p>
      <w:r>
        <w:t>This is the fifth and, for the module list itself, likely final increment of this kind — the honest characterization at this point is "Phase 1 scope is functionally complete against a simplified monolith architecture," not "Phase 1 is done," since Section 5's non-functional and security requirements (performance targets, encryption at rest, the microservices architecture itself) remain substantially unaddressed, as flagged consistently across all five updates.</w:t>
      </w:r>
    </w:p>
    <w:p>
      <w:r>
        <w:t>Architecture note, unchanged since the first update: the Audit Trail was built as a shared, in-process AuditService every module calls directly and synchronously — not the Kafka-consuming Audit &amp; Reporting Service 07_System Design Document (v2.0) specifies. Functionally equivalent (the same event data lands in the same table shape), but a synchronous in-process call standing in for what should be an async publish/consume pair across independently deployable services. See mbms/README.md for exact run instructions and seeded demo credentials.</w:t>
      </w:r>
    </w:p>
    <w:p>
      <w:pPr>
        <w:pStyle w:val="Heading1"/>
      </w:pPr>
      <w:r>
        <w:t>19. Implementation Status Update 6 (18 August 2026) — FR-AUTH-04, FR-USER-04, FR-USER-06 Corrected</w:t>
      </w:r>
    </w:p>
    <w:p>
      <w:r>
        <w:t>This update re-examined every requirement in Sections 4.1 (Authentication and Session Management) and 4.3 (User, Role and Permission Management) against the running code, not against an earlier status update's claims about that code. Result: FR-AUTH-01, 02, 03, 05, 06 and FR-USER-01, 02, 03, 05, 07, 08 were already correctly implemented and needed no change. Three were not: FR-AUTH-04 (password policy) was implemented as an unconfigurable 8-character minimum with no complexity rule — now a shared validator enforces uppercase/lowercase/digit and reads its minimum length from an environment variable. FR-USER-04 (assignment to companies, branches and departments) was missing the department half entirely — a scope could only be company- or branch-level, never narrowed further. FR-USER-06 (assignment of roles AND specific permissions to a user) had never built the permissions half — only role assignment existed.</w:t>
      </w:r>
    </w:p>
    <w:p>
      <w:r>
        <w:t>This is a useful correction to how earlier status updates in this document should be read: "FR-USER-04: Implemented" in an earlier update meant company/branch assignment worked, not that every named sub-clause of that requirement's text had been checked against the code word for word. This update did that closer check for Sprint 1 and fixed what it found; the same closer check has not yet been repeated for every other requirement group documented as "implemented" in updates 1 through 5.</w:t>
      </w:r>
    </w:p>
    <w:p>
      <w:r>
        <w:t>See mbms/README.md, "Sprint 1 verification pass", for the full detail and verification method.</w:t>
      </w:r>
    </w:p>
    <w:p>
      <w:pPr>
        <w:pStyle w:val="Heading1"/>
      </w:pPr>
      <w:r>
        <w:t>20. Implementation Status Update 7 (18 August 2026) — FR-COMP-03, FR-COMP-05, FR-COMP-06 Corrected</w:t>
      </w:r>
    </w:p>
    <w:p>
      <w:r>
        <w:t>This update re-examined every requirement in Section 4.2 (Company and Group Management) against the running code. Result: FR-COMP-01, 02, 04, 07, 08 and 09 were already correctly implemented and needed no change. Three were not, all now fixed: FR-COMP-03 (subsidiaries and associates/affiliates) — a relationshipType field now distinguishes them, required on every non-root company. FR-COMP-05 (ownership structures) — an ownershipPercent field (0-100) now exists alongside the existing parent/subsidiary link. FR-COMP-06 (store ... logo) — the logoUrl column already existed in the database but neither create nor edit endpoint exposed it; both now do. Full document storage (the rest of FR-COMP-06's "official documents" clause) remains deliberately deferred pending real object storage infrastructure — the same honest gap already noted for Employee and Supplier document upload elsewhere in this document.</w:t>
      </w:r>
    </w:p>
    <w:p>
      <w:r>
        <w:t>A fourth issue, not a requirement gap but worth recording here since it affects how every FR-COMP status above should be read: no seeded demo user held organization.company.manage before this update, so none of FR-COMP-01/02/04/08's create-and-edit actions were actually reachable through the demo despite being correctly implemented and correctly enforced. Fixed by granting the permission to the IT Administrator demo persona.</w:t>
      </w:r>
    </w:p>
    <w:p>
      <w:r>
        <w:t>See mbms/README.md, "Sprint 2 verification pass", for the full detail and verification method.</w:t>
      </w:r>
    </w:p>
    <w:p>
      <w:pPr>
        <w:pStyle w:val="Heading1"/>
      </w:pPr>
      <w:r>
        <w:t>21. Implementation Status Update 8 (18 August 2026) — FR-EMP-02, FR-EMP-03 Corrected</w:t>
      </w:r>
    </w:p>
    <w:p>
      <w:r>
        <w:t>This update re-examined every requirement in Section 4.5 (Employee Records) against the running code. Result: FR-EMP-01, 04 and 05 were already correctly implemented at the API level. FR-EMP-02 (employment history, contracts, job descriptions) gains a jobDescription field — full multi-position employment history remains out of scope, a deliberate simplification given the requirement's own "Should" priority, not an oversight. FR-EMP-03 (qualifications, skills, certifications — "Could" priority) gains a freeform qualifications field, closing a gap that had been marked "Not started" since an earlier status update. FR-EMP-06 (document upload) remains deliberately deferred pending real object storage infrastructure.</w:t>
      </w:r>
    </w:p>
    <w:p>
      <w:r>
        <w:t>A separate, larger issue was found and fixed: the create form only exposed six of roughly seventeen API-accepted fields. National ID, contract type, next-of-kin, emergency-contact and bank/tax fields were all correctly modeled, validated and masked on read (FR-USER-08) — but uncollectable through the UI, meaning FR-EMP-04 and the input half of FR-EMP-05 were only ever exercised by direct API calls, never through the product a real HR user would use.</w:t>
      </w:r>
    </w:p>
    <w:p>
      <w:r>
        <w:t>See mbms/README.md, "Sprint 3 verification pass", for the full detail and verification method.</w:t>
      </w:r>
    </w:p>
    <w:p>
      <w:pPr>
        <w:pStyle w:val="Heading1"/>
      </w:pPr>
      <w:r>
        <w:t>22. Implementation Status Update 9 (18 August 2026) — FR-SUPP-02 Corrected</w:t>
      </w:r>
    </w:p>
    <w:p>
      <w:r>
        <w:t>This update re-examined every requirement in Sections 4.6 (Customer Records) and 4.7 (Supplier Records) against the running code. Result: FR-CUST-01, 02, 03 and FR-SUPP-01, 03 were already correctly implemented. FR-SUPP-02 (contracts, documents, tax information, bank details) had tax and bank details but nothing for contracts; a contractReference and contractExpiryDate field now exist. Document storage (the "documents" half of FR-SUPP-02) remains deliberately deferred pending real object storage infrastructure.</w:t>
      </w:r>
    </w:p>
    <w:p>
      <w:r>
        <w:t>Two further issues were found and fixed, neither a requirement gap on its own but both affecting how the "implemented" status above should be read: supplier update was silently not producing an audit trail entry (create, blacklist and unblacklist all were), and both Suppliers' and Customers' create forms exposed only a minority of the fields their respective APIs accept — contact email/phone, address and bank details for Suppliers; email and address for Customers — all correctly modeled and enforced server-side but uncollectable through the product itself.</w:t>
      </w:r>
    </w:p>
    <w:p>
      <w:r>
        <w:t>See mbms/README.md, "Sprint 4 verification pass", for the full detail and verification method.</w:t>
      </w:r>
    </w:p>
    <w:p>
      <w:pPr>
        <w:pStyle w:val="Heading1"/>
      </w:pPr>
      <w:r>
        <w:t>23. Implementation Status Update 10 (18 August 2026) — FR-PROD-01 Corrected</w:t>
      </w:r>
    </w:p>
    <w:p>
      <w:r>
        <w:t>Scope note: the request that opened this sprint also named "warehouses," but 04_Software Requirements Specification, Section 4.8's own text explicitly defers stock locations, warehouses, stock movements and inventory valuation to Phase 2 — the same boundary already held for every other Phase 2+ feature throughout this project. Asked how to handle the mismatch, the choice was to keep this pass scoped to Products/Categories only, consistent with that boundary — no warehouse or stock-location code was added.</w:t>
      </w:r>
    </w:p>
    <w:p>
      <w:r>
        <w:t>This update re-examined every requirement in Section 4.8 (Product Records) against the running code. Result: FR-PROD-02 (barcode) and FR-PROD-03 (unit of measure) were already correctly modeled at the API level, with a UI-only gap (below). FR-PROD-01 ("registration of products/services") had no way to record which of the two a given record was — every product was implicitly a good. A productType field (good/service) now exists, defaulting to good so no backfill was needed for already-seeded products.</w:t>
      </w:r>
    </w:p>
    <w:p>
      <w:r>
        <w:t>Two further issues were found and fixed: product update and category create were silently not producing audit trail entries (product create was), and the create form was missing barcode and description fields that already worked correctly at the API level.</w:t>
      </w:r>
    </w:p>
    <w:p>
      <w:r>
        <w:t>See mbms/README.md, "Sprint 5 verification pass", for the full detail and verification method.</w:t>
      </w:r>
    </w:p>
    <w:p>
      <w:pPr>
        <w:pStyle w:val="Heading1"/>
      </w:pPr>
      <w:r>
        <w:t>24. Implementation Status Update 11 (18 August 2026) — FR-ACC-03, FR-DASH-02 Corrected</w:t>
      </w:r>
    </w:p>
    <w:p>
      <w:r>
        <w:t>Scope note: the request that opened this sprint named "Procurement, purchase orders and goods received" — none of which appear anywhere in 04_Software Requirements Specification's Phase 1 scope (FR-SUPP-02's own deferred note explicitly pushes purchase requisitions/orders to Phase 2), and none of which match what 17_Development Plan actually calls Sprint 6 ("Accounting completion, Dashboard, Audit Trail"). Asked how to handle the mismatch, the choice was to re-verify the actual Sprint 6 instead, the same method as Sprints 1-5, rather than starting new, unscoped Phase 2 work. No Procurement/PO/GRN code was added.</w:t>
      </w:r>
    </w:p>
    <w:p>
      <w:r>
        <w:t>This update re-examined every requirement in Sections 4.4 (Dashboard), 4.9 (Basic Accounting) and 4.10 (System Audit Trail) against the running code. Result: FR-ACC-01, 02, 04, 05, 06 and FR-DASH-01, 03, 04 and FR-AUDIT-01-03 were already correctly implemented (Audit Trail's known, already-documented simplifications from when it was built — representative-subset mutation coverage, IP capture only on access_denied — are unchanged, not new gaps). FR-ACC-03 (general ledger) only had a trial balance — an account-level summary — not a transaction-level ledger with a running balance; a new general ledger report closes this. FR-DASH-02 (accounting summary to "authorized finance users") was reachable only via the Group-level accounting.viewAll permission; a subsidiary-scoped Finance Manager holding only accounting.manage could never see it on their own company's dashboard — now fixed.</w:t>
      </w:r>
    </w:p>
    <w:p>
      <w:r>
        <w:t>One clarification, not a gap: FR-AUDIT-01 names "delete" among the actions to capture, but this system's AuditAction enum's delete value never actually fires anywhere — every service records status changes (active/inactive/blacklisted/locked) instead of hard deletes, by design. Worth stating explicitly here so a future reader doesn't mistake the absence of delete-action audit entries for a missed requirement.</w:t>
      </w:r>
    </w:p>
    <w:p>
      <w:r>
        <w:t>See mbms/README.md, "Sprint 6 verification pass", for the full detail and verification method.</w:t>
      </w:r>
    </w:p>
    <w:p>
      <w:pPr>
        <w:pStyle w:val="Heading1"/>
      </w:pPr>
      <w:r>
        <w:t>25. Implementation Status Update 12 (18 August 2026) — Section 7 Security Requirements Verified</w:t>
      </w:r>
    </w:p>
    <w:p>
      <w:r>
        <w:t>Scope note: the request that opened this sprint named "Sales, invoices and receipts" — explicitly Phase 2 in 04_Software Requirements Specification's own phasing text, and with no existing code to verify, unlike Sprint 6 which had real code under a mismatched label. The actual Sprint 7 per 17_Development Plan is "Contract, system and security testing." Asked how to handle the mismatch, the choice was to run that instead. No Sales/Invoice/Receipt code was added.</w:t>
      </w:r>
    </w:p>
    <w:p>
      <w:r>
        <w:t>This update tested Section 7 (Security Requirements) and Section 5.4 (Security NFRs) directly, live, rather than reading code and inferring compliance. SEC-01: confirmed — cross-company access and role-escalation attempts both correctly blocked. SEC-02: confirmed — a SQL injection payload and an XSS payload were both submitted live; the database was unaffected and the payload rendered as inert text in the UI with no script execution. SEC-05: confirmed — rate limiting fires correctly on the 11th rapid login attempt; a message-leak polish issue found in the process was fixed. SEC-06: confirmed via the existing audit trail. SEC-03 and SEC-04 are structurally not applicable (no cookie-based auth; no file upload feature exists). SEC-07 (Could) remains not implemented. NFR-08 is a deployment concern; NFR-09 (bcrypt, cost 12) confirmed.</w:t>
      </w:r>
    </w:p>
    <w:p>
      <w:r>
        <w:t>See mbms/README.md, "Sprint 7: security testing pass", for the full detail and verification method.</w:t>
      </w:r>
    </w:p>
    <w:p>
      <w:pPr>
        <w:pStyle w:val="Heading1"/>
      </w:pPr>
      <w:r>
        <w:t>26. Implementation Status Update 13 (18 August 2026) — BR-01 Violation Fixed</w:t>
      </w:r>
    </w:p>
    <w:p>
      <w:r>
        <w:t>Scope note: the request that opened this sprint named "Inventory" — explicitly Phase 2 in 04_Software Requirements Specification's own phasing text, with no existing code to verify. The actual Sprint 8 per 17_Development Plan is "Performance testing, Alpha testing, UAT begins." Asked how to handle the mismatch, the choice was to run that instead. No Inventory code was added.</w:t>
      </w:r>
    </w:p>
    <w:p>
      <w:r>
        <w:t>CRITICAL finding, fixed: Employees, Customers, Suppliers and Products' list() methods each used a caller-supplied filter[companyId] query parameter verbatim, with no check that it was actually one of the caller's own scoped companies — a scoped user (e.g. an HR Manager scoped only to one subsidiary) could pass filter[companyId]=&lt;any other company&gt; and receive that company's real records, including unmasked bank account numbers for Employees where the caller held employee.view.sensitive for their own company. This is a direct BR-01 violation. Found via 13_Alpha Test Plan Section 5.2's exploratory checklist (browsing for a module reachable by a role that shouldn't have access), not a scripted test case. Fixed in all four services: an out-of-scope filter[companyId] now falls back to the caller's real scope instead of being honored. Verified with the exact attack that found it, across all four services, plus confirmation that legitimate own-scope filtering still works normally.</w:t>
      </w:r>
    </w:p>
    <w:p>
      <w:r>
        <w:t>This directly affected FR-EMP-01, FR-CUST-01, FR-SUPP-01 and FR-PROD-01's list endpoints and FR-USER-08's masking guarantee (masking was correct once a record was returned; the bug was in which records were returned at all). All four are now correctly scope-enforced under this attack. See mbms/README.md, "Sprint 8: performance, Alpha and UAT pass", for the full detail and verification method.</w:t>
      </w:r>
    </w:p>
    <w:p>
      <w:pPr>
        <w:pStyle w:val="Heading1"/>
      </w:pPr>
      <w:r>
        <w:t>27. Implementation Status Update 14 (18 August 2026) — FR-EXP-01–05 Added (Section 4.12)</w:t>
      </w:r>
    </w:p>
    <w:p>
      <w:r>
        <w:t>Scope note: unlike Sprints 6-8, this sprint's request ("Expenses") did not conflict with an already-defined, still-open Phase 1 sprint - every sprint in 17_Development Plan, Section 6 (Sprints 0-8) was already either built or, for the two testing-only sprints, actually run by the previous update. This is the first update to this document since Update 5 that adds a new requirements section rather than correcting an existing one.</w:t>
      </w:r>
    </w:p>
    <w:p>
      <w:r>
        <w:t>Section 4.12 (Expense Management) was added, with five new requirements (FR-EXP-01 through FR-EXP-05) authored this sprint against the workflow 05_Business Process Document, Section 6.4 and morise.docx, Section 22/48 already described - see Section 4.12 itself for the full requirement text and its own scope note on why this SRS, whose Section 2.2 scope boundary is Phase 1 only, now contains a Phase 2 section. Section 12's Phase 2 list was annotated in place to note the pull-forward, without removing Expenses from that list - Sales, Procurement, Inventory, Warehouse, Assets and Projects remain fully deferred there, unchanged.</w:t>
      </w:r>
    </w:p>
    <w:p>
      <w:r>
        <w:t>All five FR-EXP requirements were implemented and verified this same sprint - see mbms/README.md, "Sprint 9", for the full detail and verification method.</w:t>
      </w:r>
    </w:p>
    <w:p>
      <w:pPr>
        <w:pStyle w:val="Heading1"/>
      </w:pPr>
      <w:r>
        <w:t>28. Implementation Status Update 15 (18 August 2026) — FR-ACC-07 Done, FR-ACC-08/09 Added</w:t>
      </w:r>
    </w:p>
    <w:p>
      <w:r>
        <w:t>Scope note: this sprint's request ("Accounting") was traced to Multi_Holdings_Limited_Software_Development_Procedures.docx, Section 12's own 14-sprint table, where it is literally "Sprint 10" - the same table every sprint since Sprint 1 has actually matched, discovered only this sprint. See mbms/README.md, "Sprint 10", for the full discovery and what it means for Sprints 6-8.</w:t>
      </w:r>
    </w:p>
    <w:p>
      <w:r>
        <w:t>FR-ACC-07 ("recurring and adjusting journal entries") is now implemented as a saved line-item template that generates a new draft journal entry, going through the same balance/period-closed checks every manually-created entry already does. Two new requirements were added to Section 4.9's table: FR-ACC-08 (income statement) and FR-ACC-09 (balance sheet, including a consolidated group view) - both implemented and verified this same sprint via a curl matrix covering permission gating, BR-01 scope isolation, and a consolidated-report bug found and fixed during verification (a pure holding company has no financial period of its own, which the first cut of the consolidated income-statement endpoint didn't account for).</w:t>
      </w:r>
    </w:p>
    <w:p>
      <w:r>
        <w:t>See mbms/README.md, "Sprint 10", for the full detail and verification method.</w:t>
      </w:r>
    </w:p>
    <w:p>
      <w:pPr>
        <w:pStyle w:val="Heading1"/>
      </w:pPr>
      <w:r>
        <w:t>29. Implementation Status Update 16 (18 August 2026) — FR-ASSET-01–05 Added (Section 4.13)</w:t>
      </w:r>
    </w:p>
    <w:p>
      <w:r>
        <w:t>Scope note: this sprint's request ("Assets") matches Multi_Holdings_Limited_Software_Development_Procedures.docx, Section 12's own Sprint 11 directly — no redirect needed.</w:t>
      </w:r>
    </w:p>
    <w:p>
      <w:r>
        <w:t>Section 4.13 (Asset Management) was added, with five new requirements (FR-ASSET-01 through FR-ASSET-05) authored this sprint against the workflow 05_Business Process Document, Section 6.5 and morise.docx, Section 15 already described. All five were implemented and verified this same sprint - see mbms/README.md, "Sprint 11", for the full detail and verification method.</w:t>
      </w:r>
    </w:p>
    <w:p>
      <w:pPr>
        <w:pStyle w:val="Heading1"/>
      </w:pPr>
      <w:r>
        <w:t>30. Implementation Status Update 17 (18 August 2026) — FR-PROJ-01–06 Added (Section 4.14)</w:t>
      </w:r>
    </w:p>
    <w:p>
      <w:r>
        <w:t>Scope note: this sprint's request ("Projects") matches Multi_Holdings_Limited_Software_Development_Procedures.docx, Section 12's own Sprint 12 directly - no redirect needed.</w:t>
      </w:r>
    </w:p>
    <w:p>
      <w:r>
        <w:t>Section 4.14 (Project Management) was added, with six new requirements (FR-PROJ-01 through FR-PROJ-06) authored this sprint against the workflow 05_Business Process Document, Section 6.6 and morise.docx, Section 17 already described. FR-PROJ-04 is satisfied by extending the existing Expense Service (Sprint 9) with an optional project attribution, not a new expense concept. All six were implemented and verified this same sprint - see mbms/README.md, "Sprint 12", for the full detail and verification method.</w:t>
      </w:r>
    </w:p>
    <w:p>
      <w:pPr>
        <w:pStyle w:val="Heading1"/>
      </w:pPr>
      <w:r>
        <w:t>31. Implementation Status Update 18 (18 August 2026) — RPT-01–06 Implemented</w:t>
      </w:r>
    </w:p>
    <w:p>
      <w:r>
        <w:t>Scope note: this sprint's request ("Reports") matches Multi_Holdings_Limited_Software_Development_Procedures.docx, Section 12's own Sprint 13 directly. Unlike every sprint since Sprint 9, this one needed no new Section 4.x - Section 8 (Reporting Requirements) already specified RPT-01 through RPT-06 from this document's first version; they were simply never built until now.</w:t>
      </w:r>
    </w:p>
    <w:p>
      <w:r>
        <w:t>All six RPT requirements are now implemented: RPT-01 (company/branch listing), RPT-02 (employee listing, filterable by company/branch/department), RPT-03 (customer and supplier listings), RPT-04 (chart of accounts and trial balance), RPT-05 (audit trail, filterable by user/date/company/entity), and RPT-06 (exportable to PDF and Excel/CSV - CSV via a plain writer, PDF via the pdfkit dependency added this sprint). Each report enforces the same permission its underlying data already required elsewhere, not a new shared permission - see mbms/README.md, "Sprint 13", for the full verification method.</w:t>
      </w:r>
    </w:p>
    <w:p>
      <w:pPr>
        <w:pStyle w:val="Heading1"/>
      </w:pPr>
      <w:r>
        <w:t>32. Implementation Status Update 19 (18 August 2026) — FR-NOTIF-01/02 Added (Section 4.15)</w:t>
      </w:r>
    </w:p>
    <w:p>
      <w:r>
        <w:t>Scope note: this sprint's request matches Multi_Holdings_Limited_Software_Development_Procedures.docx, Section 12's own Sprint 14 directly - the last row in that table.</w:t>
      </w:r>
    </w:p>
    <w:p>
      <w:r>
        <w:t>Section 4.15 (Notifications) was added, with two new requirements (FR-NOTIF-01/02) authored this sprint - the first requirements this document has ever carried for Notifications, previously only referenced as a general Phase 2+ deferral. Both were implemented and verified this same sprint. Dashboard (FR-DASH-01-04) and Audit Trail (FR-AUDIT-01-03) requirements were re-checked, not re-written - FR-DASH-01 gained two new fields (assets, activeProjects) reflecting modules built since this requirement was last verified at Sprint 6, and FR-AUDIT-01's coverage was confirmed comprehensive (not just "at least one mutation per service") for every module built since. See mbms/README.md, "Sprint 14", for the full detail and verification method.</w:t>
      </w:r>
    </w:p>
    <w:p>
      <w:pPr>
        <w:pStyle w:val="Heading1"/>
      </w:pPr>
      <w:r>
        <w:t>33. Implementation Status Update 20 (19 August 2026) — FR-COMP-10/11/12 Added (Section 4.2)</w:t>
      </w:r>
    </w:p>
    <w:p>
      <w:r>
        <w:t>Scope note: this update was requested directly against morise.docx, Section 2’s full feature list, not a numbered sprint. Three new requirements were authored against that list and added to Section 4.2’s existing FR-COMP table (FR-COMP-01–09, built at Sprint 2 and re-verified at Update 7).</w:t>
      </w:r>
    </w:p>
    <w:p>
      <w:r>
        <w:t>FR-COMP-10 (company policies), FR-COMP-11 (inter-company transactions) and FR-COMP-12 (cross-company asset transfer and subsidiary comparison reporting) were all implemented and verified this same pass. Section 4.2’s deferred-features note was updated in place — it previously listed all four of these as Phase 3 deferrals; three are now built, and the note now states precisely what remains deferred (formal period-end group-consolidation accounting, as opposed to the reporting this pass built).</w:t>
      </w:r>
    </w:p>
    <w:p>
      <w:r>
        <w:t>See mbms/README.md, “Company and Holdings Management,” for the full detail and verification method, including two real permission-check gaps found and fixed in the inter-company transaction endpoints.</w:t>
      </w:r>
    </w:p>
    <w:p>
      <w:pPr>
        <w:pStyle w:val="Heading1"/>
      </w:pPr>
      <w:r>
        <w:t>34. Implementation Status Update 21 (19 August 2026) — FR-DASH-05 Added (Section 4.4)</w:t>
      </w:r>
    </w:p>
    <w:p>
      <w:r>
        <w:t>Scope note: this update was requested directly against a full Holding Company / Subsidiary Dashboard KPI list (companies, branches, employees, customers, suppliers, assets, revenue, expenses, net profit, cash position, bank balances, outstanding receivables/payables, current projects, pending approvals, outstanding loans, inventory value, sales performance, procurement performance, employee statistics, company performance comparison, four monthly charts, and financial/operational alerts), not a numbered sprint from Multi_Holdings_Limited_Software_Development_Procedures.docx's Section 12 table (already complete except Sprints 6-8) or the request from earlier the same day (Company and Holdings Management Deepening, Update 20).</w:t>
      </w:r>
    </w:p>
    <w:p>
      <w:r>
        <w:t>FR-DASH-05 was authored and added to Section 4.4's existing FR-DASH table (FR-DASH-01-04, built at Sprint 6/14) as a "Could"-priority requirement, since it goes well beyond FR-DASH-01-04's original Phase 1 wording. Built: three new group-level Dashboard endpoints (financials, charts, alerts) and a deepened subsidiary-scoped dashboard (financials, monthly charts, outstanding inter-company loans), reusing the existing Income Statement/Balance Sheet aggregation logic and the same authorized-users-only, not-just-Group-level permission gating FR-DASH-02 already established at Sprint 6. A new Account.accountSubType column (cash/bank/receivable/payable) was added so cash position, bank balances and outstanding receivables/payables can be computed at all — migration sprint15_account_subtype_dashboard. No new permission was needed; every new block reuses accounting.viewAll, organization.company.viewAll or organization.intercompany.manage/viewAll. Inventory Value, Sales Performance and Procurement Performance are returned as an explicit, labeled "not available" block with a stated reason (no Inventory, Sales or Procurement module exists in this codebase — deliberately deferred since Sprints 6-8) rather than faked or silently omitted, the same honest-gap pattern FR-CUST-03's empty customer statement already established.</w:t>
      </w:r>
    </w:p>
    <w:p>
      <w:r>
        <w:t>A real bug was found and fixed during verification, not before it: the first cut of the new balance-position calculation omitted the synthetic "Net Income (Current Period, Unposted)" equity line the existing Balance Sheet report already adds (this system has no period-close/retained-earnings-rollover process), which understated total equity by exactly each company's net profit and caused a false "balance sheet does not balance" alert to fire for every company with posted revenue/expense activity. Fixed by including the same synthetic line; re-verified afterward with the balance sheet correctly balancing to zero and the false alert gone.</w:t>
      </w:r>
    </w:p>
    <w:p>
      <w:r>
        <w:t>Verified end-to-end with a curl matrix: permission gating on all three new endpoints (a subsidiary-scoped Finance Manager correctly receives FORBIDDEN calling the group-wide /dashboard/financials), BR-01 scope isolation on the deepened company dashboard (a Finance Manager scoped to Morise Agro Ltd correctly receives NOT_FOUND requesting Morise Logistics Ltd's dashboard), and that a role with no accounting permission for a company (an HR Manager) correctly sees financials/outstandingLoans as null on that company's own dashboard, not an error. A live browser/Playwright pass was not available this session (no browser tool was available to the agent that built this) — this is API-level verification only via curl, plus a clean `vite build` confirming the new frontend code compiles, the same honest gap Sprint 9's update recorded for its own browser-pass-unavailable session.</w:t>
      </w:r>
    </w:p>
    <w:p>
      <w:pPr>
        <w:pStyle w:val="Heading1"/>
      </w:pPr>
      <w:r>
        <w:t>35. Implementation Status Update 22 (19 August 2026) — Section 2.3 Role Catalogue Fully Permissioned</w:t>
      </w:r>
    </w:p>
    <w:p>
      <w:r>
        <w:t>Scope note: this update was requested directly against a full RBAC feature list — a User Management capability bullet list (create/edit/activate-deactivate/reset password/change password/lock accounts/manage profiles/assign companies-branches-departments/assign roles/assign permissions/restrict access to modules, companies, branches, financial information and sensitive documents) and the 23-role catalogue (Super Administrator through Read-only User) — not a numbered sprint or either of the two dashboard/company-holdings passes from earlier the same day.</w:t>
      </w:r>
    </w:p>
    <w:p>
      <w:r>
        <w:t>Section 2.3's 23-role catalogue table was already complete and accurate as documentation — every role name and Phase 1 Relevance description in that table was already correct. The gap this pass closed was entirely in the implementation: 14 of those 23 roles were seeded as rows in the roles table (so an administrator could select and assign them) but had never been wired to a single permission, making them functionally inert despite being correctly documented. Built: all 23 catalogue roles are now permissioned (14 of them — Chief Financial Officer, Accountant, Operations Manager, Project Manager, Inventory Manager, Warehouse Manager, Legal Officer, Customer Service Officer, Employee, External Auditor, Board Member, Investor, Read-only User — existed as role rows since Sprint 1 but had never been given a single permission), plus a new self-service POST /identity/users/me/change-password endpoint (distinct from the existing admin-initiated reset and the unauthenticated forgot-password flow). No new permission or schema migration was needed for the role work; the new endpoint reuses the existing IsStrongPassword validator and audit pattern.</w:t>
      </w:r>
    </w:p>
    <w:p>
      <w:r>
        <w:t>Two real gaps were found and fixed during this pass, not before it: 14 of 23 roles existed but granted their holder nothing at all (the same "exists but is functionally inert" class of gap Sprint 2 found for company management); and the existing admin-initiated reset-password action never called AuditService, unlike every other password-affecting action in this system — both fixed.</w:t>
      </w:r>
    </w:p>
    <w:p>
      <w:r>
        <w:t>Verified end-to-end with a curl matrix: GET /identity/roles confirms all 23 roles now carry their expected permission count; a live test user assigned only the new Accountant role correctly receives FORBIDDEN calling both an identity.user.manage-gated and an organization.company.viewAll-gated endpoint; self-service change-password correctly rejects a wrong current password, succeeds with the right one, revokes the old password and produces a matching audit entry; the admin reset-password audit fix was verified the same way. A live browser/Playwright pass was not available this session — API-level verification only via curl, plus a clean vite build confirming the new Change Password UI compiles.</w:t>
      </w:r>
    </w:p>
    <w:p>
      <w:pPr>
        <w:pStyle w:val="Heading3"/>
      </w:pPr>
      <w:r>
        <w:t>4.16 HR Module Deepening — Recruitment, Attendance, Leave, Performance (19 August 2026)</w:t>
      </w:r>
    </w:p>
    <w:p>
      <w:r>
        <w:t>Four entirely new requirement areas, none of which existed anywhere in this document before this pass, added directly against the request's own feature list rather than derived from an earlier phase document. Representative requirements below, not exhaustive — the authoritative field/endpoint list is mbms/backend/prisma/schema.prisma and the four new controllers (recruitment/attendance/leave/performance).</w:t>
      </w:r>
    </w:p>
    <w:tbl>
      <w:tblPr>
        <w:tblW w:type="auto" w:w="0"/>
        <w:tblLook w:firstColumn="1" w:firstRow="1" w:lastColumn="0" w:lastRow="0" w:noHBand="0" w:noVBand="1" w:val="04A0"/>
      </w:tblPr>
      <w:tblGrid>
        <w:gridCol w:w="3402"/>
        <w:gridCol w:w="3402"/>
        <w:gridCol w:w="3402"/>
      </w:tblGrid>
      <w:tr>
        <w:tc>
          <w:tcPr>
            <w:tcW w:type="dxa" w:w="3402"/>
          </w:tcPr>
          <w:p>
            <w:r>
              <w:t>ID</w:t>
            </w:r>
          </w:p>
        </w:tc>
        <w:tc>
          <w:tcPr>
            <w:tcW w:type="dxa" w:w="3402"/>
          </w:tcPr>
          <w:p>
            <w:r>
              <w:t>Requirement</w:t>
            </w:r>
          </w:p>
        </w:tc>
        <w:tc>
          <w:tcPr>
            <w:tcW w:type="dxa" w:w="3402"/>
          </w:tcPr>
          <w:p>
            <w:r>
              <w:t>Priority</w:t>
            </w:r>
          </w:p>
        </w:tc>
      </w:tr>
      <w:tr>
        <w:tc>
          <w:tcPr>
            <w:tcW w:type="dxa" w:w="3402"/>
          </w:tcPr>
          <w:p>
            <w:r>
              <w:t>FR-RECRUIT-01</w:t>
            </w:r>
          </w:p>
        </w:tc>
        <w:tc>
          <w:tcPr>
            <w:tcW w:type="dxa" w:w="3402"/>
          </w:tcPr>
          <w:p>
            <w:r>
              <w:t>The system shall allow HR to register job vacancies (title, description, employment type, positions, company/branch/department), subject to an approval step before the vacancy is posted.</w:t>
            </w:r>
          </w:p>
        </w:tc>
        <w:tc>
          <w:tcPr>
            <w:tcW w:type="dxa" w:w="3402"/>
          </w:tcPr>
          <w:p>
            <w:r>
              <w:t>Should</w:t>
            </w:r>
          </w:p>
        </w:tc>
      </w:tr>
      <w:tr>
        <w:tc>
          <w:tcPr>
            <w:tcW w:type="dxa" w:w="3402"/>
          </w:tcPr>
          <w:p>
            <w:r>
              <w:t>FR-RECRUIT-02</w:t>
            </w:r>
          </w:p>
        </w:tc>
        <w:tc>
          <w:tcPr>
            <w:tcW w:type="dxa" w:w="3402"/>
          </w:tcPr>
          <w:p>
            <w:r>
              <w:t>The system shall maintain applications against a vacancy (applicant details, CV reference), progressing through shortlisting, interview scheduling and scoring, and an offer.</w:t>
            </w:r>
          </w:p>
        </w:tc>
        <w:tc>
          <w:tcPr>
            <w:tcW w:type="dxa" w:w="3402"/>
          </w:tcPr>
          <w:p>
            <w:r>
              <w:t>Should</w:t>
            </w:r>
          </w:p>
        </w:tc>
      </w:tr>
      <w:tr>
        <w:tc>
          <w:tcPr>
            <w:tcW w:type="dxa" w:w="3402"/>
          </w:tcPr>
          <w:p>
            <w:r>
              <w:t>FR-RECRUIT-03</w:t>
            </w:r>
          </w:p>
        </w:tc>
        <w:tc>
          <w:tcPr>
            <w:tcW w:type="dxa" w:w="3402"/>
          </w:tcPr>
          <w:p>
            <w:r>
              <w:t>The system shall allow an accepted job offer to be onboarded into a real employee record, carrying over job title, location and start date.</w:t>
            </w:r>
          </w:p>
        </w:tc>
        <w:tc>
          <w:tcPr>
            <w:tcW w:type="dxa" w:w="3402"/>
          </w:tcPr>
          <w:p>
            <w:r>
              <w:t>Should</w:t>
            </w:r>
          </w:p>
        </w:tc>
      </w:tr>
      <w:tr>
        <w:tc>
          <w:tcPr>
            <w:tcW w:type="dxa" w:w="3402"/>
          </w:tcPr>
          <w:p>
            <w:r>
              <w:t>FR-ATT-01</w:t>
            </w:r>
          </w:p>
        </w:tc>
        <w:tc>
          <w:tcPr>
            <w:tcW w:type="dxa" w:w="3402"/>
          </w:tcPr>
          <w:p>
            <w:r>
              <w:t>The system shall allow an employee to clock in and out against an assigned shift, computing late arrival and overtime automatically.</w:t>
            </w:r>
          </w:p>
        </w:tc>
        <w:tc>
          <w:tcPr>
            <w:tcW w:type="dxa" w:w="3402"/>
          </w:tcPr>
          <w:p>
            <w:r>
              <w:t>Should</w:t>
            </w:r>
          </w:p>
        </w:tc>
      </w:tr>
      <w:tr>
        <w:tc>
          <w:tcPr>
            <w:tcW w:type="dxa" w:w="3402"/>
          </w:tcPr>
          <w:p>
            <w:r>
              <w:t>FR-ATT-02</w:t>
            </w:r>
          </w:p>
        </w:tc>
        <w:tc>
          <w:tcPr>
            <w:tcW w:type="dxa" w:w="3402"/>
          </w:tcPr>
          <w:p>
            <w:r>
              <w:t>The system shall allow HR/a manager to record attendance, including marking an employee absent, on behalf of an employee who has no system login.</w:t>
            </w:r>
          </w:p>
        </w:tc>
        <w:tc>
          <w:tcPr>
            <w:tcW w:type="dxa" w:w="3402"/>
          </w:tcPr>
          <w:p>
            <w:r>
              <w:t>Should</w:t>
            </w:r>
          </w:p>
        </w:tc>
      </w:tr>
      <w:tr>
        <w:tc>
          <w:tcPr>
            <w:tcW w:type="dxa" w:w="3402"/>
          </w:tcPr>
          <w:p>
            <w:r>
              <w:t>FR-ATT-03</w:t>
            </w:r>
          </w:p>
        </w:tc>
        <w:tc>
          <w:tcPr>
            <w:tcW w:type="dxa" w:w="3402"/>
          </w:tcPr>
          <w:p>
            <w:r>
              <w:t>The system shall provide an attendance summary (present/late/absent counts, total overtime) for a company and date range.</w:t>
            </w:r>
          </w:p>
        </w:tc>
        <w:tc>
          <w:tcPr>
            <w:tcW w:type="dxa" w:w="3402"/>
          </w:tcPr>
          <w:p>
            <w:r>
              <w:t>Could</w:t>
            </w:r>
          </w:p>
        </w:tc>
      </w:tr>
      <w:tr>
        <w:tc>
          <w:tcPr>
            <w:tcW w:type="dxa" w:w="3402"/>
          </w:tcPr>
          <w:p>
            <w:r>
              <w:t>FR-LEAVE-01</w:t>
            </w:r>
          </w:p>
        </w:tc>
        <w:tc>
          <w:tcPr>
            <w:tcW w:type="dxa" w:w="3402"/>
          </w:tcPr>
          <w:p>
            <w:r>
              <w:t>The system shall support annual, sick, maternity, paternity and emergency leave, each tracked against a per-employee, per-year balance.</w:t>
            </w:r>
          </w:p>
        </w:tc>
        <w:tc>
          <w:tcPr>
            <w:tcW w:type="dxa" w:w="3402"/>
          </w:tcPr>
          <w:p>
            <w:r>
              <w:t>Must</w:t>
            </w:r>
          </w:p>
        </w:tc>
      </w:tr>
      <w:tr>
        <w:tc>
          <w:tcPr>
            <w:tcW w:type="dxa" w:w="3402"/>
          </w:tcPr>
          <w:p>
            <w:r>
              <w:t>FR-LEAVE-02</w:t>
            </w:r>
          </w:p>
        </w:tc>
        <w:tc>
          <w:tcPr>
            <w:tcW w:type="dxa" w:w="3402"/>
          </w:tcPr>
          <w:p>
            <w:r>
              <w:t>The system shall require a leave application to be approved before the requested days are deducted from the employee's balance, and shall reject approval if the balance is insufficient.</w:t>
            </w:r>
          </w:p>
        </w:tc>
        <w:tc>
          <w:tcPr>
            <w:tcW w:type="dxa" w:w="3402"/>
          </w:tcPr>
          <w:p>
            <w:r>
              <w:t>Must</w:t>
            </w:r>
          </w:p>
        </w:tc>
      </w:tr>
      <w:tr>
        <w:tc>
          <w:tcPr>
            <w:tcW w:type="dxa" w:w="3402"/>
          </w:tcPr>
          <w:p>
            <w:r>
              <w:t>FR-LEAVE-03</w:t>
            </w:r>
          </w:p>
        </w:tc>
        <w:tc>
          <w:tcPr>
            <w:tcW w:type="dxa" w:w="3402"/>
          </w:tcPr>
          <w:p>
            <w:r>
              <w:t>The system shall provide a calendar view of approved leave for a company and date range.</w:t>
            </w:r>
          </w:p>
        </w:tc>
        <w:tc>
          <w:tcPr>
            <w:tcW w:type="dxa" w:w="3402"/>
          </w:tcPr>
          <w:p>
            <w:r>
              <w:t>Could</w:t>
            </w:r>
          </w:p>
        </w:tc>
      </w:tr>
      <w:tr>
        <w:tc>
          <w:tcPr>
            <w:tcW w:type="dxa" w:w="3402"/>
          </w:tcPr>
          <w:p>
            <w:r>
              <w:t>FR-PERF-01</w:t>
            </w:r>
          </w:p>
        </w:tc>
        <w:tc>
          <w:tcPr>
            <w:tcW w:type="dxa" w:w="3402"/>
          </w:tcPr>
          <w:p>
            <w:r>
              <w:t>The system shall support performance review cycles, each with objectives/KPIs set per employee.</w:t>
            </w:r>
          </w:p>
        </w:tc>
        <w:tc>
          <w:tcPr>
            <w:tcW w:type="dxa" w:w="3402"/>
          </w:tcPr>
          <w:p>
            <w:r>
              <w:t>Should</w:t>
            </w:r>
          </w:p>
        </w:tc>
      </w:tr>
      <w:tr>
        <w:tc>
          <w:tcPr>
            <w:tcW w:type="dxa" w:w="3402"/>
          </w:tcPr>
          <w:p>
            <w:r>
              <w:t>FR-PERF-02</w:t>
            </w:r>
          </w:p>
        </w:tc>
        <w:tc>
          <w:tcPr>
            <w:tcW w:type="dxa" w:w="3402"/>
          </w:tcPr>
          <w:p>
            <w:r>
              <w:t>The system shall support a self-assessment submitted by the employee, followed by a manager assessment with a numeric rating, promotion recommendation and training recommendation.</w:t>
            </w:r>
          </w:p>
        </w:tc>
        <w:tc>
          <w:tcPr>
            <w:tcW w:type="dxa" w:w="3402"/>
          </w:tcPr>
          <w:p>
            <w:r>
              <w:t>Should</w:t>
            </w:r>
          </w:p>
        </w:tc>
      </w:tr>
    </w:tbl>
    <w:p>
      <w:pPr>
        <w:pStyle w:val="Heading1"/>
      </w:pPr>
      <w:r>
        <w:t>37. Implementation Status Update 23 (19 August 2026) — Recruitment, Attendance, Leave and Performance Added (Section 4.16)</w:t>
      </w:r>
    </w:p>
    <w:p>
      <w:r>
        <w:t>Scope note: this update was requested directly against a full HR feature list opening with "The HR module should manage employees across all companies," not a numbered sprint or either pass earlier the same day.</w:t>
      </w:r>
    </w:p>
    <w:p>
      <w:r>
        <w:t>FR-EMP-07 (employment history) was added to the existing Section 4.5 table, closing a documented Sprint 3 simplification. Section 4.16 was authored fresh with representative requirements for the four entirely new modules built this pass: Recruitment, Attendance, Leave, Performance.</w:t>
      </w:r>
    </w:p>
    <w:p>
      <w:r>
        <w:t>See mbms/README.md, "HR Module Deepening", for the full detail and verification method, including two real bugs found and fixed during this pass (a self-service scope-gating bug in Performance, and a demo-reachability gap where no seeded user could reach three of the four modules' manage actions for one subsidiary).</w:t>
      </w:r>
    </w:p>
    <w:p>
      <w:pPr>
        <w:pStyle w:val="Heading3"/>
      </w:pPr>
      <w:r>
        <w:t>4.17 Customer Storefront — Sales, Invoicing, Payments, Support (19 August 2026)</w:t>
      </w:r>
    </w:p>
    <w:p>
      <w:r>
        <w:t>Requirement areas for the first customer-facing (not staff-facing) module in this codebase, added directly against the request rather than derived from an earlier phase document. Representative requirements below, not exhaustive — the authoritative field/endpoint list is mbms/backend/prisma/schema.prisma and the customer-portal/sales/support controllers.</w:t>
      </w:r>
    </w:p>
    <w:tbl>
      <w:tblPr>
        <w:tblW w:type="auto" w:w="0"/>
        <w:tblLook w:firstColumn="1" w:firstRow="1" w:lastColumn="0" w:lastRow="0" w:noHBand="0" w:noVBand="1" w:val="04A0"/>
      </w:tblPr>
      <w:tblGrid>
        <w:gridCol w:w="3402"/>
        <w:gridCol w:w="3402"/>
        <w:gridCol w:w="3402"/>
      </w:tblGrid>
      <w:tr>
        <w:tc>
          <w:tcPr>
            <w:tcW w:type="dxa" w:w="3402"/>
          </w:tcPr>
          <w:p>
            <w:r>
              <w:t>ID</w:t>
            </w:r>
          </w:p>
        </w:tc>
        <w:tc>
          <w:tcPr>
            <w:tcW w:type="dxa" w:w="3402"/>
          </w:tcPr>
          <w:p>
            <w:r>
              <w:t>Requirement</w:t>
            </w:r>
          </w:p>
        </w:tc>
        <w:tc>
          <w:tcPr>
            <w:tcW w:type="dxa" w:w="3402"/>
          </w:tcPr>
          <w:p>
            <w:r>
              <w:t>Priority</w:t>
            </w:r>
          </w:p>
        </w:tc>
      </w:tr>
      <w:tr>
        <w:tc>
          <w:tcPr>
            <w:tcW w:type="dxa" w:w="3402"/>
          </w:tcPr>
          <w:p>
            <w:r>
              <w:t>FR-SALES-01</w:t>
            </w:r>
          </w:p>
        </w:tc>
        <w:tc>
          <w:tcPr>
            <w:tcW w:type="dxa" w:w="3402"/>
          </w:tcPr>
          <w:p>
            <w:r>
              <w:t>The system shall allow an authenticated customer to place an order from a priced product catalog scoped to their own company, against a delivery address on their account.</w:t>
            </w:r>
          </w:p>
        </w:tc>
        <w:tc>
          <w:tcPr>
            <w:tcW w:type="dxa" w:w="3402"/>
          </w:tcPr>
          <w:p>
            <w:r>
              <w:t>Must</w:t>
            </w:r>
          </w:p>
        </w:tc>
      </w:tr>
      <w:tr>
        <w:tc>
          <w:tcPr>
            <w:tcW w:type="dxa" w:w="3402"/>
          </w:tcPr>
          <w:p>
            <w:r>
              <w:t>FR-SALES-02</w:t>
            </w:r>
          </w:p>
        </w:tc>
        <w:tc>
          <w:tcPr>
            <w:tcW w:type="dxa" w:w="3402"/>
          </w:tcPr>
          <w:p>
            <w:r>
              <w:t>The system shall reject an order that would push the customer's outstanding invoice balance over their configured credit limit.</w:t>
            </w:r>
          </w:p>
        </w:tc>
        <w:tc>
          <w:tcPr>
            <w:tcW w:type="dxa" w:w="3402"/>
          </w:tcPr>
          <w:p>
            <w:r>
              <w:t>Must</w:t>
            </w:r>
          </w:p>
        </w:tc>
      </w:tr>
      <w:tr>
        <w:tc>
          <w:tcPr>
            <w:tcW w:type="dxa" w:w="3402"/>
          </w:tcPr>
          <w:p>
            <w:r>
              <w:t>FR-SALES-03</w:t>
            </w:r>
          </w:p>
        </w:tc>
        <w:tc>
          <w:tcPr>
            <w:tcW w:type="dxa" w:w="3402"/>
          </w:tcPr>
          <w:p>
            <w:r>
              <w:t>The system shall allow a customer to cancel their own order only while it has not yet entered fulfillment (placed/confirmed), reversing any ledger postings already made.</w:t>
            </w:r>
          </w:p>
        </w:tc>
        <w:tc>
          <w:tcPr>
            <w:tcW w:type="dxa" w:w="3402"/>
          </w:tcPr>
          <w:p>
            <w:r>
              <w:t>Should</w:t>
            </w:r>
          </w:p>
        </w:tc>
      </w:tr>
      <w:tr>
        <w:tc>
          <w:tcPr>
            <w:tcW w:type="dxa" w:w="3402"/>
          </w:tcPr>
          <w:p>
            <w:r>
              <w:t>FR-SALES-04</w:t>
            </w:r>
          </w:p>
        </w:tc>
        <w:tc>
          <w:tcPr>
            <w:tcW w:type="dxa" w:w="3402"/>
          </w:tcPr>
          <w:p>
            <w:r>
              <w:t>The system shall allow an authorized staff user to advance a customer order through a fixed fulfillment sequence (placed, confirmed, packed, out for delivery, delivered).</w:t>
            </w:r>
          </w:p>
        </w:tc>
        <w:tc>
          <w:tcPr>
            <w:tcW w:type="dxa" w:w="3402"/>
          </w:tcPr>
          <w:p>
            <w:r>
              <w:t>Must</w:t>
            </w:r>
          </w:p>
        </w:tc>
      </w:tr>
      <w:tr>
        <w:tc>
          <w:tcPr>
            <w:tcW w:type="dxa" w:w="3402"/>
          </w:tcPr>
          <w:p>
            <w:r>
              <w:t>FR-INVOICE-01</w:t>
            </w:r>
          </w:p>
        </w:tc>
        <w:tc>
          <w:tcPr>
            <w:tcW w:type="dxa" w:w="3402"/>
          </w:tcPr>
          <w:p>
            <w:r>
              <w:t>The system shall generate an invoice automatically at order creation, due per the customer's configured payment terms, and post a balanced journal entry to the selling company's ledger.</w:t>
            </w:r>
          </w:p>
        </w:tc>
        <w:tc>
          <w:tcPr>
            <w:tcW w:type="dxa" w:w="3402"/>
          </w:tcPr>
          <w:p>
            <w:r>
              <w:t>Must</w:t>
            </w:r>
          </w:p>
        </w:tc>
      </w:tr>
      <w:tr>
        <w:tc>
          <w:tcPr>
            <w:tcW w:type="dxa" w:w="3402"/>
          </w:tcPr>
          <w:p>
            <w:r>
              <w:t>FR-INVOICE-02</w:t>
            </w:r>
          </w:p>
        </w:tc>
        <w:tc>
          <w:tcPr>
            <w:tcW w:type="dxa" w:w="3402"/>
          </w:tcPr>
          <w:p>
            <w:r>
              <w:t>The system shall let a customer view, filter (paid/overdue/due soon), and download a PDF of their own invoices and a full account statement.</w:t>
            </w:r>
          </w:p>
        </w:tc>
        <w:tc>
          <w:tcPr>
            <w:tcW w:type="dxa" w:w="3402"/>
          </w:tcPr>
          <w:p>
            <w:r>
              <w:t>Should</w:t>
            </w:r>
          </w:p>
        </w:tc>
      </w:tr>
      <w:tr>
        <w:tc>
          <w:tcPr>
            <w:tcW w:type="dxa" w:w="3402"/>
          </w:tcPr>
          <w:p>
            <w:r>
              <w:t>FR-PAY-01</w:t>
            </w:r>
          </w:p>
        </w:tc>
        <w:tc>
          <w:tcPr>
            <w:tcW w:type="dxa" w:w="3402"/>
          </w:tcPr>
          <w:p>
            <w:r>
              <w:t>The system shall let a customer settle one or more of their own unpaid invoices in a single payment, by a stated method (mobile money, card or bank transfer), posting a balanced settlement entry.</w:t>
            </w:r>
          </w:p>
        </w:tc>
        <w:tc>
          <w:tcPr>
            <w:tcW w:type="dxa" w:w="3402"/>
          </w:tcPr>
          <w:p>
            <w:r>
              <w:t>Must</w:t>
            </w:r>
          </w:p>
        </w:tc>
      </w:tr>
      <w:tr>
        <w:tc>
          <w:tcPr>
            <w:tcW w:type="dxa" w:w="3402"/>
          </w:tcPr>
          <w:p>
            <w:r>
              <w:t>FR-SUPPORT-01</w:t>
            </w:r>
          </w:p>
        </w:tc>
        <w:tc>
          <w:tcPr>
            <w:tcW w:type="dxa" w:w="3402"/>
          </w:tcPr>
          <w:p>
            <w:r>
              <w:t>The system shall let a customer raise a support ticket (category, priority, subject, description), optionally linked to one of their own orders or invoices, and reply in a thread.</w:t>
            </w:r>
          </w:p>
        </w:tc>
        <w:tc>
          <w:tcPr>
            <w:tcW w:type="dxa" w:w="3402"/>
          </w:tcPr>
          <w:p>
            <w:r>
              <w:t>Should</w:t>
            </w:r>
          </w:p>
        </w:tc>
      </w:tr>
      <w:tr>
        <w:tc>
          <w:tcPr>
            <w:tcW w:type="dxa" w:w="3402"/>
          </w:tcPr>
          <w:p>
            <w:r>
              <w:t>FR-SUPPORT-02</w:t>
            </w:r>
          </w:p>
        </w:tc>
        <w:tc>
          <w:tcPr>
            <w:tcW w:type="dxa" w:w="3402"/>
          </w:tcPr>
          <w:p>
            <w:r>
              <w:t>The system shall let an authorized staff user view, reply to and resolve a support ticket within their scope.</w:t>
            </w:r>
          </w:p>
        </w:tc>
        <w:tc>
          <w:tcPr>
            <w:tcW w:type="dxa" w:w="3402"/>
          </w:tcPr>
          <w:p>
            <w:r>
              <w:t>Should</w:t>
            </w:r>
          </w:p>
        </w:tc>
      </w:tr>
      <w:tr>
        <w:tc>
          <w:tcPr>
            <w:tcW w:type="dxa" w:w="3402"/>
          </w:tcPr>
          <w:p>
            <w:r>
              <w:t>FR-LANDING-01</w:t>
            </w:r>
          </w:p>
        </w:tc>
        <w:tc>
          <w:tcPr>
            <w:tcW w:type="dxa" w:w="3402"/>
          </w:tcPr>
          <w:p>
            <w:r>
              <w:t>The system shall present a public landing page to an unauthenticated visitor describing the portal's capabilities, with a disclaimer stating the environment's demonstration status shown on first visit.</w:t>
            </w:r>
          </w:p>
        </w:tc>
        <w:tc>
          <w:tcPr>
            <w:tcW w:type="dxa" w:w="3402"/>
          </w:tcPr>
          <w:p>
            <w:r>
              <w:t>Could</w:t>
            </w:r>
          </w:p>
        </w:tc>
      </w:tr>
    </w:tbl>
    <w:p>
      <w:pPr>
        <w:pStyle w:val="Heading1"/>
      </w:pPr>
      <w:r>
        <w:t>38. Implementation Status Update 24 (19 August 2026) — Customer Storefront Added (Section 4.17)</w:t>
      </w:r>
    </w:p>
    <w:p>
      <w:r>
        <w:t>Scope note: requested directly against three related asks handled in one session — build the customer storefront, make it responsive, and add a public landing page with a disclaimer — not a numbered sprint.</w:t>
      </w:r>
    </w:p>
    <w:p>
      <w:r>
        <w:t>Section 4.17 was authored fresh with representative requirements for the entirely new Sales/Invoicing/Payments and Support Ticketing areas this pass built, plus the landing page/disclaimer. No existing FR item in this document was changed; FR-CUST-03's own "honestly empty statement, no Sales service exists yet" note (Section 4.6) is now outdated and should be read alongside this section — Sales/Invoicing exists as of this update.</w:t>
      </w:r>
    </w:p>
    <w:p>
      <w:r>
        <w:t>See mbms/README.md, "Sprint 16: Customer Storefront", "Storefront responsiveness pass" and "Landing page and disclaimer added", for the full detail and verification method, including three real bugs found and fixed during these passes (a seed-script idempotency bug, a frontend permission-gate mismatch, and a CSS specificity leak that visually reordered the new Landing page's header).</w:t>
      </w:r>
    </w:p>
    <w:tbl>
      <w:tblPr>
        <w:tblW w:type="auto" w:w="0"/>
        <w:tblLook w:firstColumn="1" w:firstRow="1" w:lastColumn="0" w:lastRow="0" w:noHBand="0" w:noVBand="1" w:val="04A0"/>
      </w:tblPr>
      <w:tblGrid>
        <w:gridCol w:w="3402"/>
        <w:gridCol w:w="3402"/>
        <w:gridCol w:w="3402"/>
      </w:tblGrid>
      <w:tr>
        <w:tc>
          <w:tcPr>
            <w:tcW w:type="dxa" w:w="3402"/>
          </w:tcPr>
          <w:p>
            <w:r>
              <w:t>ID</w:t>
            </w:r>
          </w:p>
        </w:tc>
        <w:tc>
          <w:tcPr>
            <w:tcW w:type="dxa" w:w="3402"/>
          </w:tcPr>
          <w:p>
            <w:r>
              <w:t>Requirement</w:t>
            </w:r>
          </w:p>
        </w:tc>
        <w:tc>
          <w:tcPr>
            <w:tcW w:type="dxa" w:w="3402"/>
          </w:tcPr>
          <w:p>
            <w:r>
              <w:t>Priority</w:t>
            </w:r>
          </w:p>
        </w:tc>
      </w:tr>
      <w:tr>
        <w:tc>
          <w:tcPr>
            <w:tcW w:type="dxa" w:w="3402"/>
          </w:tcPr>
          <w:p>
            <w:r>
              <w:t>FR-GL-08</w:t>
            </w:r>
          </w:p>
        </w:tc>
        <w:tc>
          <w:tcPr>
            <w:tcW w:type="dxa" w:w="3402"/>
          </w:tcPr>
          <w:p>
            <w:r>
              <w:t>The system shall generate a closing journal entry when a financial period is closed, zeroing revenue and expense accounts into Retained Earnings.</w:t>
            </w:r>
          </w:p>
        </w:tc>
        <w:tc>
          <w:tcPr>
            <w:tcW w:type="dxa" w:w="3402"/>
          </w:tcPr>
          <w:p>
            <w:r>
              <w:t>Should</w:t>
            </w:r>
          </w:p>
        </w:tc>
      </w:tr>
      <w:tr>
        <w:tc>
          <w:tcPr>
            <w:tcW w:type="dxa" w:w="3402"/>
          </w:tcPr>
          <w:p>
            <w:r>
              <w:t>FR-GL-09</w:t>
            </w:r>
          </w:p>
        </w:tc>
        <w:tc>
          <w:tcPr>
            <w:tcW w:type="dxa" w:w="3402"/>
          </w:tcPr>
          <w:p>
            <w:r>
              <w:t>The system shall allow an account's ledger balance to be reconciled against an external statement balance as of a date, recording any variance.</w:t>
            </w:r>
          </w:p>
        </w:tc>
        <w:tc>
          <w:tcPr>
            <w:tcW w:type="dxa" w:w="3402"/>
          </w:tcPr>
          <w:p>
            <w:r>
              <w:t>Should</w:t>
            </w:r>
          </w:p>
        </w:tc>
      </w:tr>
      <w:tr>
        <w:tc>
          <w:tcPr>
            <w:tcW w:type="dxa" w:w="3402"/>
          </w:tcPr>
          <w:p>
            <w:r>
              <w:t>FR-AR-01</w:t>
            </w:r>
          </w:p>
        </w:tc>
        <w:tc>
          <w:tcPr>
            <w:tcW w:type="dxa" w:w="3402"/>
          </w:tcPr>
          <w:p>
            <w:r>
              <w:t>The system shall allow credit and debit notes to be issued against a customer, optionally applied to a specific invoice, each posting a balanced journal entry.</w:t>
            </w:r>
          </w:p>
        </w:tc>
        <w:tc>
          <w:tcPr>
            <w:tcW w:type="dxa" w:w="3402"/>
          </w:tcPr>
          <w:p>
            <w:r>
              <w:t>Must</w:t>
            </w:r>
          </w:p>
        </w:tc>
      </w:tr>
      <w:tr>
        <w:tc>
          <w:tcPr>
            <w:tcW w:type="dxa" w:w="3402"/>
          </w:tcPr>
          <w:p>
            <w:r>
              <w:t>FR-AR-02</w:t>
            </w:r>
          </w:p>
        </w:tc>
        <w:tc>
          <w:tcPr>
            <w:tcW w:type="dxa" w:w="3402"/>
          </w:tcPr>
          <w:p>
            <w:r>
              <w:t>The system shall provide a staff-facing aging report and customer statement, not limited to a single logged-in customer's own view.</w:t>
            </w:r>
          </w:p>
        </w:tc>
        <w:tc>
          <w:tcPr>
            <w:tcW w:type="dxa" w:w="3402"/>
          </w:tcPr>
          <w:p>
            <w:r>
              <w:t>Should</w:t>
            </w:r>
          </w:p>
        </w:tc>
      </w:tr>
      <w:tr>
        <w:tc>
          <w:tcPr>
            <w:tcW w:type="dxa" w:w="3402"/>
          </w:tcPr>
          <w:p>
            <w:r>
              <w:t>FR-AP-01</w:t>
            </w:r>
          </w:p>
        </w:tc>
        <w:tc>
          <w:tcPr>
            <w:tcW w:type="dxa" w:w="3402"/>
          </w:tcPr>
          <w:p>
            <w:r>
              <w:t>The system shall allow supplier invoices to be recorded, submitted for approval, approved, and paid (in full or in part), each transition posting to the general ledger.</w:t>
            </w:r>
          </w:p>
        </w:tc>
        <w:tc>
          <w:tcPr>
            <w:tcW w:type="dxa" w:w="3402"/>
          </w:tcPr>
          <w:p>
            <w:r>
              <w:t>Must</w:t>
            </w:r>
          </w:p>
        </w:tc>
      </w:tr>
      <w:tr>
        <w:tc>
          <w:tcPr>
            <w:tcW w:type="dxa" w:w="3402"/>
          </w:tcPr>
          <w:p>
            <w:r>
              <w:t>FR-AP-02</w:t>
            </w:r>
          </w:p>
        </w:tc>
        <w:tc>
          <w:tcPr>
            <w:tcW w:type="dxa" w:w="3402"/>
          </w:tcPr>
          <w:p>
            <w:r>
              <w:t>The system shall allow credit notes to be issued against a supplier invoice.</w:t>
            </w:r>
          </w:p>
        </w:tc>
        <w:tc>
          <w:tcPr>
            <w:tcW w:type="dxa" w:w="3402"/>
          </w:tcPr>
          <w:p>
            <w:r>
              <w:t>Should</w:t>
            </w:r>
          </w:p>
        </w:tc>
      </w:tr>
      <w:tr>
        <w:tc>
          <w:tcPr>
            <w:tcW w:type="dxa" w:w="3402"/>
          </w:tcPr>
          <w:p>
            <w:r>
              <w:t>FR-AP-03</w:t>
            </w:r>
          </w:p>
        </w:tc>
        <w:tc>
          <w:tcPr>
            <w:tcW w:type="dxa" w:w="3402"/>
          </w:tcPr>
          <w:p>
            <w:r>
              <w:t>The system shall provide an aging report, a supplier statement, and a payment schedule of outstanding bills sorted by due date.</w:t>
            </w:r>
          </w:p>
        </w:tc>
        <w:tc>
          <w:tcPr>
            <w:tcW w:type="dxa" w:w="3402"/>
          </w:tcPr>
          <w:p>
            <w:r>
              <w:t>Should</w:t>
            </w:r>
          </w:p>
        </w:tc>
      </w:tr>
      <w:tr>
        <w:tc>
          <w:tcPr>
            <w:tcW w:type="dxa" w:w="3402"/>
          </w:tcPr>
          <w:p>
            <w:r>
              <w:t>FR-FS-01</w:t>
            </w:r>
          </w:p>
        </w:tc>
        <w:tc>
          <w:tcPr>
            <w:tcW w:type="dxa" w:w="3402"/>
          </w:tcPr>
          <w:p>
            <w:r>
              <w:t>The system shall produce a Cash Flow Statement categorized into operating, investing and financing activities for a financial period.</w:t>
            </w:r>
          </w:p>
        </w:tc>
        <w:tc>
          <w:tcPr>
            <w:tcW w:type="dxa" w:w="3402"/>
          </w:tcPr>
          <w:p>
            <w:r>
              <w:t>Should</w:t>
            </w:r>
          </w:p>
        </w:tc>
      </w:tr>
      <w:tr>
        <w:tc>
          <w:tcPr>
            <w:tcW w:type="dxa" w:w="3402"/>
          </w:tcPr>
          <w:p>
            <w:r>
              <w:t>FR-FS-02</w:t>
            </w:r>
          </w:p>
        </w:tc>
        <w:tc>
          <w:tcPr>
            <w:tcW w:type="dxa" w:w="3402"/>
          </w:tcPr>
          <w:p>
            <w:r>
              <w:t>The system shall produce a Statement of Changes in Equity for a financial period.</w:t>
            </w:r>
          </w:p>
        </w:tc>
        <w:tc>
          <w:tcPr>
            <w:tcW w:type="dxa" w:w="3402"/>
          </w:tcPr>
          <w:p>
            <w:r>
              <w:t>Should</w:t>
            </w:r>
          </w:p>
        </w:tc>
      </w:tr>
      <w:tr>
        <w:tc>
          <w:tcPr>
            <w:tcW w:type="dxa" w:w="3402"/>
          </w:tcPr>
          <w:p>
            <w:r>
              <w:t>FR-FS-03</w:t>
            </w:r>
          </w:p>
        </w:tc>
        <w:tc>
          <w:tcPr>
            <w:tcW w:type="dxa" w:w="3402"/>
          </w:tcPr>
          <w:p>
            <w:r>
              <w:t>The system shall produce a budget-versus-actual comparison per account for a financial period.</w:t>
            </w:r>
          </w:p>
        </w:tc>
        <w:tc>
          <w:tcPr>
            <w:tcW w:type="dxa" w:w="3402"/>
          </w:tcPr>
          <w:p>
            <w:r>
              <w:t>Could</w:t>
            </w:r>
          </w:p>
        </w:tc>
      </w:tr>
      <w:tr>
        <w:tc>
          <w:tcPr>
            <w:tcW w:type="dxa" w:w="3402"/>
          </w:tcPr>
          <w:p>
            <w:r>
              <w:t>FR-FS-04</w:t>
            </w:r>
          </w:p>
        </w:tc>
        <w:tc>
          <w:tcPr>
            <w:tcW w:type="dxa" w:w="3402"/>
          </w:tcPr>
          <w:p>
            <w:r>
              <w:t>The system shall compute standard financial ratios (net profit margin, return on assets, return on equity, debt-to-equity, asset turnover) from posted ledger data.</w:t>
            </w:r>
          </w:p>
        </w:tc>
        <w:tc>
          <w:tcPr>
            <w:tcW w:type="dxa" w:w="3402"/>
          </w:tcPr>
          <w:p>
            <w:r>
              <w:t>Could</w:t>
            </w:r>
          </w:p>
        </w:tc>
      </w:tr>
    </w:tbl>
    <w:p>
      <w:pPr>
        <w:pStyle w:val="Heading1"/>
      </w:pPr>
      <w:r>
        <w:t>39. Implementation Status Update 25 (19 August 2026) — Financial Module: FR-GL-08/09, FR-AR-01/02, FR-AP-01-03, FR-FS-01-04 Added</w:t>
      </w:r>
    </w:p>
    <w:p>
      <w:r>
        <w:t>Scope note: this update was requested directly against a full Financial Module feature list — General Ledger gaps, Accounts Receivable, Accounts Payable, and five new Financial Statements — opening with "The financial module should be one of the core components of the system." Not a numbered sprint or any of the three passes earlier the same day.</w:t>
      </w:r>
    </w:p>
    <w:p>
      <w:r>
        <w:t>Built: closing entries (a real journal entry zeroing revenue/expense into Retained Earnings on period close), adjusting-entry tagging, account reconciliation, and budgets on the General Ledger side; a new Accounts Payable subledger (supplier invoices with a draft-approve-pay workflow, payments, credit notes, aging, statements); Accounts Receivable deepened with credit/debit notes and staff-facing aging/statements on top of the existing Order/Invoice/Payment system (see the correction note below); and four new report endpoints — Cash Flow Statement, Statement of Changes in Equity, Financial Ratios, Budget vs Actual, and a Management Accounts bundle.</w:t>
      </w:r>
    </w:p>
    <w:p>
      <w:r>
        <w:t>A real duplication was found and corrected before any service code shipped: this pass's first draft of Accounts Receivable defined its own customer invoice/payment tables, and a routine database check found a complete Order-to-Invoice-to-Payment system already built by a different, concurrently-running session (the "Customer Storefront" work also reflected in this docx set's own Update 24 entries). The duplicate tables were deleted before any code referenced them; Accounts Receivable was built against the real existing models instead. This is the second time this project has had two sessions modifying the same live database concurrently the same day — the migration tracking table needed re-baselining three times as a result, a recovered environment issue, not data loss.</w:t>
      </w:r>
    </w:p>
    <w:p>
      <w:r>
        <w:t>Current ratio and quick ratio were deliberately NOT added as requirements this pass — no current-vs-non-current account classification exists anywhere in this chart of accounts, and computing them without one would produce a silently wrong number.</w:t>
      </w:r>
    </w:p>
    <w:p>
      <w:r>
        <w:t>See mbms/README.md, "Financial Module Deepening", for the full detail and verification method.</w:t>
      </w:r>
    </w:p>
    <w:p>
      <w:pPr>
        <w:pStyle w:val="Heading1"/>
      </w:pPr>
      <w:r>
        <w:t>40. Implementation Status Update 26 (27 August 2026) — Admin Navigation Redesign</w:t>
      </w:r>
    </w:p>
    <w:p>
      <w:pPr>
        <w:pStyle w:val="BodyText"/>
      </w:pPr>
      <w:r>
        <w:t>On 27 August 2026 the staff Admin application's navigation was reorganised from a single flat list of 21 links into four collapsible, self-remembering categories, to match the agreed screen taxonomy captured in four reference screenshots dated 27 August 2026 (see the screenshots/ folder).</w:t>
      </w:r>
    </w:p>
    <w:p>
      <w:pPr>
        <w:pStyle w:val="BodyText"/>
      </w:pPr>
      <w:r>
        <w:t>The four categories and their menu items are:</w:t>
      </w:r>
    </w:p>
    <w:p>
      <w:pPr>
        <w:pStyle w:val="BodyText"/>
      </w:pPr>
      <w:r>
        <w:t>•  Admin / Backend: Dashboard, Companies &amp; Holdings, Product Manager, Order Management, Inventory*, Customers (CRM), Support Tickets, Marketing &amp; Promos*, CMS / Site Builder*, Users &amp; Settings, Activity Log.</w:t>
      </w:r>
    </w:p>
    <w:p>
      <w:pPr>
        <w:pStyle w:val="BodyText"/>
      </w:pPr>
      <w:r>
        <w:t>•  Human Resources: HR Dashboard*, Employees, Departments*, Attendance, Leave Requests, Shift Scheduling*, Recruitment, Payroll*.</w:t>
      </w:r>
    </w:p>
    <w:p>
      <w:pPr>
        <w:pStyle w:val="BodyText"/>
      </w:pPr>
      <w:r>
        <w:t>•  My HR (employee self-service): My Profile, Clock In / Out*, My Leave*, My Shifts*, My Performance*, My Payslips*, My Salary Advances*.</w:t>
      </w:r>
    </w:p>
    <w:p>
      <w:pPr>
        <w:pStyle w:val="BodyText"/>
      </w:pPr>
      <w:r>
        <w:t>•  Financial &amp; Accounting: Financial &amp; Accounting (overview)*, General Ledger &amp; Journals, Accounts Payable, Expenses, Assets, Projects, Reports, Suppliers, Inter-Company.</w:t>
      </w:r>
    </w:p>
    <w:p>
      <w:pPr>
        <w:pStyle w:val="BodyText"/>
      </w:pPr>
      <w:r>
        <w:t>Items marked with an asterisk (*) are part of the taxonomy but have no backend service in the current slice. In the application they render as navigable “Planned” placeholder screens so the structure has no dead links. Every previously working screen remains available — it has only been regrouped, and in some cases relabelled (Companies → Companies &amp; Holdings, Products → Product Manager, Orders → Order Management, Users &amp; Roles → Users &amp; Settings, Audit Trail → Activity Log, Accounting → General Ledger &amp; Journals, Leave → Leave Requests). Suppliers moved under Financial &amp; Accounting; Performance is no longer a top-level link (manager-side access is retained via /performance and the HR flows, and “My Performance” is the self-service entry).</w:t>
      </w:r>
    </w:p>
    <w:p>
      <w:pPr>
        <w:pStyle w:val="BodyText"/>
      </w:pPr>
      <w:r>
        <w:t>This is a front-end-only change: NAV_GROUPS taxonomy and a collapsible category component in mbms/frontend/src/components/Layout.jsx, a shared ComingSoon placeholder component, 14 placeholder routes in App.jsx, and sidebar styles in app.css. There is no API, database schema, or data-migration impact. Verified with a production vite build (62 modules, no errors) and a headless screenshot of the running dev server.</w:t>
      </w:r>
    </w:p>
    <w:p>
      <w:pPr>
        <w:pStyle w:val="Heading2"/>
      </w:pPr>
      <w:r>
        <w:t>Impact on this document</w:t>
      </w:r>
    </w:p>
    <w:p>
      <w:pPr>
        <w:pStyle w:val="BodyText"/>
      </w:pPr>
      <w:r>
        <w:t>This adds a functional-requirements grouping for navigation. The Admin application shall present its screens under four collapsible categories — Admin / Backend, Human Resources, My HR, and Financial &amp; Accounting — with the category owning the current route always expanded and the open/closed state persisted per client.</w:t>
      </w:r>
    </w:p>
    <w:p>
      <w:pPr>
        <w:pStyle w:val="BodyText"/>
      </w:pPr>
      <w:r>
        <w:t>The following screens are specified as planned (no service in the current slice) and shall appear as navigable placeholders: Inventory; Marketing &amp; Promos; CMS / Site Builder; HR Dashboard; Departments (data entity already specified in 08 Database Design §4.3); Shift Scheduling; Payroll (see morise.docx §6 and 05 Business Process §7.1); and the My HR self-service set (Clock In / Out, My Leave, My Shifts, My Performance, My Payslips, My Salary Advances); plus a Financial &amp; Accounting overview landing. No previously specified requirement is withdrawn.</w:t>
      </w:r>
    </w:p>
    <w:p>
      <w:pPr>
        <w:pStyle w:val="Heading1"/>
      </w:pPr>
      <w:r>
        <w:t>41. Implementation Status Update 27 (27 August 2026) — Delegated Administration (Grant Authority)</w:t>
      </w:r>
    </w:p>
    <w:p>
      <w:pPr>
        <w:pStyle w:val="BodyText"/>
      </w:pPr>
      <w:r>
        <w:t>Every admin user may only view, create, update, delete and execute the operations that have been granted to them — enforced per request by the permission guard, which re-derives the user's roles and permissions from the database on every call. On 27 August 2026 the model for HOW those grants are made was tightened: roles and direct permissions may now only be granted or revoked by three business grantor roles, each within a bounded authority.</w:t>
      </w:r>
    </w:p>
    <w:p>
      <w:pPr>
        <w:pStyle w:val="BodyText"/>
      </w:pPr>
      <w:r>
        <w:t>Grantor authority:</w:t>
      </w:r>
    </w:p>
    <w:p>
      <w:pPr>
        <w:pStyle w:val="BodyText"/>
      </w:pPr>
      <w:r>
        <w:t>•  Managing Director: may delegate any role and any permission (every domain), to any user, group-wide.</w:t>
      </w:r>
    </w:p>
    <w:p>
      <w:pPr>
        <w:pStyle w:val="BodyText"/>
      </w:pPr>
      <w:r>
        <w:t>•  Branch Manager: may delegate only “operations”-domain permissions (and roles composed only of them), and only to users inside their own company/branch scope.</w:t>
      </w:r>
    </w:p>
    <w:p>
      <w:pPr>
        <w:pStyle w:val="BodyText"/>
      </w:pPr>
      <w:r>
        <w:t>•  Human Resources Manager: may delegate only “hr”-domain permissions, and only to users inside their own company/branch scope.</w:t>
      </w:r>
    </w:p>
    <w:p>
      <w:pPr>
        <w:pStyle w:val="BodyText"/>
      </w:pPr>
      <w:r>
        <w:t>•  Super Administrator / IT Administrator: retain unbounded grant authority as the platform bootstrap / break-glass path (they hold identity.user.manage).</w:t>
      </w:r>
    </w:p>
    <w:p>
      <w:pPr>
        <w:pStyle w:val="BodyText"/>
      </w:pPr>
      <w:r>
        <w:t>Mechanism: every permission now carries a domain (identity, org, hr, finance, operations or governance). DELEGATION_RULES maps each grantor role to the domains it may delegate and whether its reach is group-wide or own-scope; a user with several grantor roles gets the union. DelegationService.assertCanGrant runs on every grant and every revoke (a role assignment is first expanded to its permission codes): it checks each permission's domain against the actor's authority, then — for own-scope grantors — that every one of the target user's scope rows is covered by one of the actor's. A new permission identity.user.delegate lets the three grantor roles reach the grant/revoke and read-only user-list endpoints; user lifecycle (create / activate / lock / scope) stays limited to identity.user.manage.</w:t>
      </w:r>
    </w:p>
    <w:p>
      <w:pPr>
        <w:pStyle w:val="BodyText"/>
      </w:pPr>
      <w:r>
        <w:t>Supporting changes: GET /identity/users/{id}/delegatable-grants returns exactly the roles and permissions the signed-in admin may grant on that user plus a canDelegateToTarget flag, and the Users &amp; Settings screen uses it so its dropdowns only ever offer allowed grants and it shows a notice when the selected user is outside the admin's scope. Grant and revoke are written to the audit trail (identity.user.updated with roleAssigned / roleRemoved / permissionGranted / permissionRevoked); a blocked attempt is recorded as UsersController.access.denied. One Prisma migration adds permissions.domain; the seed backfills every domain and grants identity.user.delegate to the Managing Director, Branch Manager, Human Resources Manager and Super Administrator. Verified end-to-end against the running API (MD grants any domain; Branch Manager grants operations in-scope but is refused an hr permission and any out-of-scope target; HR Manager grants hr in-scope but is refused operations; a non-grantor is refused by the guard).</w:t>
      </w:r>
    </w:p>
    <w:p>
      <w:pPr>
        <w:pStyle w:val="Heading2"/>
      </w:pPr>
      <w:r>
        <w:t>Impact on this document</w:t>
      </w:r>
    </w:p>
    <w:p>
      <w:pPr>
        <w:pStyle w:val="BodyText"/>
      </w:pPr>
      <w:r>
        <w:t>New functional requirements for delegated administration: (a) every permission has a domain — identity, org, hr, finance, operations or governance; (b) a grantor role may grant or revoke only permissions (and roles composed only of such permissions) whose domain is within its delegation authority — Managing Director: all; Branch Manager: operations; Human Resources Manager: hr; (c) a bounded grantor may act only on target users all of whose company/branch scope rows are covered by the grantor's own scope; (d) reaching the grant/revoke endpoints requires identity.user.manage or the new identity.user.delegate; user lifecycle stays identity.user.manage-only; (e) grant and revoke are audited, and a refused attempt is recorded as access_denied.</w:t>
      </w:r>
    </w:p>
    <w:p>
      <w:pPr>
        <w:pStyle w:val="Heading1"/>
      </w:pPr>
      <w:r>
        <w:t>42. Implementation Status Update 28 (27 August 2026) — Permission-Based Visibility (Hide Unpermitted Operations)</w:t>
      </w:r>
    </w:p>
    <w:p>
      <w:pPr>
        <w:pStyle w:val="BodyText"/>
      </w:pPr>
      <w:r>
        <w:t>Building on the delegated-administration model, the Admin application now HIDES what a user has not been granted rather than only blocking it on submit: an operation a user has not been permitted — whether by the Managing Director, a Branch Manager or an HR Manager — is not shown to them at all.</w:t>
      </w:r>
    </w:p>
    <w:p>
      <w:pPr>
        <w:pStyle w:val="BodyText"/>
      </w:pPr>
      <w:r>
        <w:t>Behaviour:</w:t>
      </w:r>
    </w:p>
    <w:p>
      <w:pPr>
        <w:pStyle w:val="BodyText"/>
      </w:pPr>
      <w:r>
        <w:t>•  Sidebar: a menu item the signed-in user lacks the permission for is not rendered — not greyed, not disabled; a whole category disappears when none of its items are visible.</w:t>
      </w:r>
    </w:p>
    <w:p>
      <w:pPr>
        <w:pStyle w:val="BodyText"/>
      </w:pPr>
      <w:r>
        <w:t>•  Direct URL: typing the address of a screen the user may not see redirects them to the Dashboard; no flash of content.</w:t>
      </w:r>
    </w:p>
    <w:p>
      <w:pPr>
        <w:pStyle w:val="BodyText"/>
      </w:pPr>
      <w:r>
        <w:t>•  Always visible: the Dashboard and the “My HR” employee self-service screens (my profile, clock in/out, my leave, my shifts, my performance, my payslips, my salary advances).</w:t>
      </w:r>
    </w:p>
    <w:p>
      <w:pPr>
        <w:pStyle w:val="BodyText"/>
      </w:pPr>
      <w:r>
        <w:t>•  Platform administrators: holders of identity.user.manage (Super Administrator / IT Administrator) see everything, as they administer the system itself.</w:t>
      </w:r>
    </w:p>
    <w:p>
      <w:pPr>
        <w:pStyle w:val="BodyText"/>
      </w:pPr>
      <w:r>
        <w:t>Mechanism: the login, token-refresh and GET /identity/users/me responses now include the user's effective permission codes (role permissions plus direct grants) — the same set the request guard already enforces. The front end holds one map, ROUTE_CAPABILITIES (mbms/frontend/src/lib/capabilities.js), from each admin route to the permission code(s) that make it meaningful ('*' = always; '__platform_admin__' = platform admins only, used for planned screens with no permission code yet, e.g. Payroll). The sidebar filters its items through this map; RequireAuth checks it on every navigation and redirects to the Dashboard when the target is not permitted; a hasPermission(...) helper is available to screens for finer hiding. The map is the single source for both the menu and the route guard so they cannot drift. While a session saved before this field existed is being re-hydrated (the app re-reads /identity/users/me on load), nothing is blocked client-side — the API still enforces every call.</w:t>
      </w:r>
    </w:p>
    <w:p>
      <w:pPr>
        <w:pStyle w:val="BodyText"/>
      </w:pPr>
      <w:r>
        <w:t>This is presentation and navigation only — no new permission codes, no schema change, no change to what the API allows (every endpoint keeps its own permission check). Verified with the running system: signed in as Sales Manager (product.manage, sales.order.manage, customer.manage, expense.create, expense.approve.manager, leave.approve) the sidebar shows only Dashboard, Product Manager, Order Management, Inventory, Customers (CRM), Marketing &amp; Promos, CMS / Site Builder, Leave Requests, the whole My HR group and Expenses — nothing else — and navigating to /users redirects to the Dashboard.</w:t>
      </w:r>
    </w:p>
    <w:p>
      <w:pPr>
        <w:pStyle w:val="Heading2"/>
      </w:pPr>
      <w:r>
        <w:t>Impact on this document</w:t>
      </w:r>
    </w:p>
    <w:p>
      <w:pPr>
        <w:pStyle w:val="BodyText"/>
      </w:pPr>
      <w:r>
        <w:t>New functional requirement: the Admin application shall not display, and shall not allow navigation to, any screen or menu item for which the signed-in user holds none of the required permissions; a category with no visible item is itself hidden; the Dashboard and the employee self-service (“My HR”) screens are exempt; holders of identity.user.manage see all. The authentication responses shall return the user's effective permission codes to support this. Server-side enforcement of every endpoint is unchanged and remains authoritative.</w:t>
      </w:r>
    </w:p>
    <w:p>
      <w:pPr>
        <w:pStyle w:val="Heading1"/>
      </w:pPr>
      <w:r>
        <w:t>43. Implementation Status Update 29 (27 August 2026) — Customer Storefront Localisation (Uganda Languages)</w:t>
      </w:r>
    </w:p>
    <w:p>
      <w:pPr>
        <w:pStyle w:val="BodyText"/>
      </w:pPr>
      <w:r>
        <w:t>A customer can now switch the Customer Storefront into any of Uganda's languages from a picker in the header, and on the Landing and Login screens before sign-in. The choice is remembered in that browser (localStorage 'storefront.lang') and also sets the page's HTML lang attribute.</w:t>
      </w:r>
    </w:p>
    <w:p>
      <w:pPr>
        <w:pStyle w:val="BodyText"/>
      </w:pPr>
      <w:r>
        <w:t>Coverage (agreed scope: framework + key strings + English fallback):</w:t>
      </w:r>
    </w:p>
    <w:p>
      <w:pPr>
        <w:pStyle w:val="BodyText"/>
      </w:pPr>
      <w:r>
        <w:t>•  Languages offered: the two official languages (English, Kiswahili) plus Uganda's indigenous languages grouped by family in the picker — Bantu (Luganda, Runyankole, Rukiga, Lusoga, Rutooro, Lumasaba, Kinyarwanda), Nilotic (Ateso, Acholi, Lango, Karamojong, Alur, Kakwa) and Central Sudanic (Lugbara, Ma'di, Aringa).</w:t>
      </w:r>
    </w:p>
    <w:p>
      <w:pPr>
        <w:pStyle w:val="BodyText"/>
      </w:pPr>
      <w:r>
        <w:t>•  Translated now: English is the complete baseline; Kiswahili and Luganda cover the key UI strings (navigation, header, buttons, page headings, common labels); Runyankole and Acholi are partial.</w:t>
      </w:r>
    </w:p>
    <w:p>
      <w:pPr>
        <w:pStyle w:val="BodyText"/>
      </w:pPr>
      <w:r>
        <w:t>•  Fallback: any string not yet translated for the chosen language renders in English, key by key, so a page is never half-blank; untranslated languages are listed and marked accordingly for translators to fill.</w:t>
      </w:r>
    </w:p>
    <w:p>
      <w:pPr>
        <w:pStyle w:val="BodyText"/>
      </w:pPr>
      <w:r>
        <w:t>•  Not translated in this pass: long body / marketing prose, and any server-generated text (statuses, e-mails) — the preference is applied in the browser only; no API response changes.</w:t>
      </w:r>
    </w:p>
    <w:p>
      <w:pPr>
        <w:pStyle w:val="BodyText"/>
      </w:pPr>
      <w:r>
        <w:t>Mechanism: mbms/storefront/src/locales/index.js holds LANGUAGE_LIST (code, English label, local name, language family) and LOCALES — one flat key-to-string table per language, with the English table complete. mbms/storefront/src/lib/i18n.jsx provides an I18nProvider (reads and persists the choice, sets document lang) and a t(key, vars) helper that returns the chosen language's string, else English, else the key, interpolating {name}-style placeholders. A LanguageSwitcher component (grouped by family) sits in the storefront header and on the Landing and Login screens; all eleven storefront pages call t() for their navigation, headings and primary buttons.</w:t>
      </w:r>
    </w:p>
    <w:p>
      <w:pPr>
        <w:pStyle w:val="BodyText"/>
      </w:pPr>
      <w:r>
        <w:t>No back-end, database or API change — the language preference lives only in the customer's browser. Verified with the running storefront: the home page in Luganda (navigation “Awaka / Edduuka / Ebiragiro Byange / Inivoosi n'Ebisasulo / Obuyambi / Akakawunti Kange”, welcome “Tukwanirizza nate, …”) and the login screen in Kiswahili (“Barua pepe au Nambari ya Akaunti”, “Nywila”, “Ingia”); switching to a not-yet-translated language falls back to English cleanly.</w:t>
      </w:r>
    </w:p>
    <w:p>
      <w:pPr>
        <w:pStyle w:val="Heading2"/>
      </w:pPr>
      <w:r>
        <w:t>Impact on this document</w:t>
      </w:r>
    </w:p>
    <w:p>
      <w:pPr>
        <w:pStyle w:val="BodyText"/>
      </w:pPr>
      <w:r>
        <w:t>New functional requirement: the Customer Storefront shall let a customer choose the display language from Uganda's languages, shall remember the choice for that browser, and shall fall back to English for any string not translated in the chosen language. The language control shall be reachable before sign-in. No requirement is placed on server-generated text in this pass.</w:t>
      </w:r>
    </w:p>
    <w:p>
      <w:pPr>
        <w:pStyle w:val="Heading1"/>
      </w:pPr>
      <w:r>
        <w:t>44. Implementation Status Update 30 (27 August 2026) — Storefront Localisation Extended to World Languages</w:t>
      </w:r>
    </w:p>
    <w:p>
      <w:pPr>
        <w:pStyle w:val="BodyText"/>
      </w:pPr>
      <w:r>
        <w:t>The Customer Storefront language picker, introduced the same day for Uganda's languages, is extended to the major languages of every continent — 43 languages in total. The picker groups them: Uganda's language families first, then Africa, Asia, Europe, the Americas and Oceania.</w:t>
      </w:r>
    </w:p>
    <w:p>
      <w:pPr>
        <w:pStyle w:val="BodyText"/>
      </w:pPr>
      <w:r>
        <w:t>What changed from the Uganda-languages pass:</w:t>
      </w:r>
    </w:p>
    <w:p>
      <w:pPr>
        <w:pStyle w:val="BodyText"/>
      </w:pPr>
      <w:r>
        <w:t>•  Languages added: Africa — Arabic, Hausa, Yoruba, Igbo, Amharic, Zulu; Asia — Mandarin Chinese, Hindi, Bengali, Japanese, Indonesian, Russian, Turkish; Europe — German, French, Spanish, Italian; the Americas — Portuguese, Quechua, Guarani; Oceania — Tok Pisin, Māori, Samoan, Tongan, Fijian.</w:t>
      </w:r>
    </w:p>
    <w:p>
      <w:pPr>
        <w:pStyle w:val="BodyText"/>
      </w:pPr>
      <w:r>
        <w:t>•  Now translated (key UI): in addition to English (complete), Kiswahili and Luganda, the key UI strings are translated for French, Spanish, Portuguese, German, Italian and Arabic; Runyankole and Acholi remain partial; every other language falls back to English key by key.</w:t>
      </w:r>
    </w:p>
    <w:p>
      <w:pPr>
        <w:pStyle w:val="BodyText"/>
      </w:pPr>
      <w:r>
        <w:t>•  Right-to-left: Arabic is the first right-to-left language; selecting it flips the document direction (the HTML dir attribute) and a small dir='rtl' block in the stylesheet corrects the few physically-placed elements. Any right-to-left language added later behaves the same way.</w:t>
      </w:r>
    </w:p>
    <w:p>
      <w:pPr>
        <w:pStyle w:val="BodyText"/>
      </w:pPr>
      <w:r>
        <w:t>•  Unchanged: still a front-end-only change — the preference lives in the customer's browser; no API, database schema or migration is affected, and server-generated text is not translated in this pass.</w:t>
      </w:r>
    </w:p>
    <w:p>
      <w:pPr>
        <w:pStyle w:val="BodyText"/>
      </w:pPr>
      <w:r>
        <w:t>Mechanism: LANGUAGE_LIST in mbms/storefront/src/locales/index.js gains the world languages (each with a code, English label, local/native name and a group), plus an optional dir: 'rtl' marker and a dirForLang() helper. LOCALES gains a translated key-string table for fr, es, pt, de, it and ar, and an empty (English-fallback) entry for every other new code. lib/i18n.jsx now also sets document.documentElement.dir on each language change. LanguageSwitcher already groups by the region field, so it renders the new continent groups without change. No storefront page needed editing — they were already wired to t() in the previous pass.</w:t>
      </w:r>
    </w:p>
    <w:p>
      <w:pPr>
        <w:pStyle w:val="BodyText"/>
      </w:pPr>
      <w:r>
        <w:t>Verified with the running storefront: the home page in French (navigation “Accueil / Boutique / Mes commandes / Factures et paiements / Assistance / Mon compte”, welcome “Bon retour, …”), and the login and home screens in Arabic with the entire layout mirrored right-to-left (“تسجيل الدخول”, “البريد الإلكتروني أو رقم الحساب”). Languages without a translation yet fall back to English cleanly.</w:t>
      </w:r>
    </w:p>
    <w:p>
      <w:pPr>
        <w:pStyle w:val="Heading2"/>
      </w:pPr>
      <w:r>
        <w:t>Impact on this document</w:t>
      </w:r>
    </w:p>
    <w:p>
      <w:pPr>
        <w:pStyle w:val="BodyText"/>
      </w:pPr>
      <w:r>
        <w:t>The language-selection functional requirement is unchanged in shape; the supported set is enlarged to 43 languages spanning every continent, and the storefront shall render right-to-left when a right-to-left language (currently Arabic) is selected, restoring left-to-right for any other. English fallback per untranslated string still applies.</w:t>
      </w:r>
    </w:p>
    <w:p>
      <w:pPr>
        <w:pStyle w:val="Heading1"/>
      </w:pPr>
      <w:r>
        <w:t>45. Implementation Status Update 31 (27 August 2026) — Full Storefront Localisation (Every Screen)</w:t>
      </w:r>
    </w:p>
    <w:p>
      <w:pPr>
        <w:pStyle w:val="BodyText"/>
      </w:pPr>
      <w:r>
        <w:t>When a customer changes language, the WHOLE Customer Storefront now changes, not only the navigation and page headings. Every visible string was pulled into the translation catalogue and every storefront component was wired to render through it.</w:t>
      </w:r>
    </w:p>
    <w:p>
      <w:pPr>
        <w:pStyle w:val="BodyText"/>
      </w:pPr>
      <w:r>
        <w:t>What this pass covered:</w:t>
      </w:r>
    </w:p>
    <w:p>
      <w:pPr>
        <w:pStyle w:val="BodyText"/>
      </w:pPr>
      <w:r>
        <w:t>•  Full string extraction: about 190 keys covering all eleven storefront pages, the shared Layout, and the public Landing page (hero, feature cards, the how-it-works steps, footer and the full five-point disclaimer modal).</w:t>
      </w:r>
    </w:p>
    <w:p>
      <w:pPr>
        <w:pStyle w:val="BodyText"/>
      </w:pPr>
      <w:r>
        <w:t>•  Every UI element keyed: form labels, input placeholders, empty-state messages, table headers, buttons, breadcrumb trails, error and success banners, and the order / invoice / ticket status and priority badges (new tStatus() / tPriority() helpers, replacing the raw UPPER-CASE humaniser for any value present in the catalogue).</w:t>
      </w:r>
    </w:p>
    <w:p>
      <w:pPr>
        <w:pStyle w:val="BodyText"/>
      </w:pPr>
      <w:r>
        <w:t>•  Nine languages complete: English is the baseline; Kiswahili, Luganda, French, Spanish, Portuguese, German, Italian and Arabic are now translated in full, so selecting any of them changes every screen. Runyankole and Acholi remain partial; all other languages fall back to English string by string.</w:t>
      </w:r>
    </w:p>
    <w:p>
      <w:pPr>
        <w:pStyle w:val="BodyText"/>
      </w:pPr>
      <w:r>
        <w:t>•  Unchanged: still a front-end-only change — no API, database schema or migration is affected. Server-supplied data (company names, product names, monetary amounts) is shown exactly as the API returns it.</w:t>
      </w:r>
    </w:p>
    <w:p>
      <w:pPr>
        <w:pStyle w:val="BodyText"/>
      </w:pPr>
      <w:r>
        <w:t>Mechanism: the catalogue was split for maintainability into mbms/storefront/src/locales/en.js (the complete key set), eu.js (French, Spanish, Portuguese, German, Italian) and regional.js (Swahili, Luganda, Arabic in full; Runyankole and Acholi partial), assembled by locales/index.js which also exposes FULLY_TRANSLATED_LANGS. lib/i18n.jsx gained tStatus() and tPriority(), which look up status.* / priority.* keys and fall back to the previous humanised form for any enum not in the catalogue. Every page component (Home, Shop, Product Detail, Cart, Orders, Invoices, Make Payment, Support, Account, Login, Landing) now renders exclusively through t() / tStatus() / tPriority(); lib/format.js's statusLabel is no longer used by the UI.</w:t>
      </w:r>
    </w:p>
    <w:p>
      <w:pPr>
        <w:pStyle w:val="BodyText"/>
      </w:pPr>
      <w:r>
        <w:t>Verified against the running storefront: the French Orders screen (status column, order tracker steps, filter and buttons all translated), the German Account screen (every field label, payment terms, add-address button), and the Arabic Home screen — each rendered entirely in the chosen language, with Arabic mirrored right-to-left, and only server-supplied data left in its original form. Selecting a not-yet-translated language leaves each individual string in English rather than blank.</w:t>
      </w:r>
    </w:p>
    <w:p>
      <w:pPr>
        <w:pStyle w:val="Heading2"/>
      </w:pPr>
      <w:r>
        <w:t>Impact on this document</w:t>
      </w:r>
    </w:p>
    <w:p>
      <w:pPr>
        <w:pStyle w:val="BodyText"/>
      </w:pPr>
      <w:r>
        <w:t>Refines the localisation requirement: the storefront shall render EVERY user-facing string in the selected language where a translation exists — including labels, placeholders, empty states, table headers, buttons, banners and status / priority indicators — and shall fall back to English per individual string otherwise. Server-supplied data is out of scope for translation.</w:t>
      </w:r>
    </w:p>
    <w:p>
      <w:pPr>
        <w:pStyle w:val="Heading1"/>
      </w:pPr>
      <w:r>
        <w:t>46. Implementation Status Update 32 (27 August 2026) — Database Content Localisation (Read in Language, Store in English)</w:t>
      </w:r>
    </w:p>
    <w:p>
      <w:pPr>
        <w:pStyle w:val="BodyText"/>
      </w:pPr>
      <w:r>
        <w:t>Localisation now reaches the data, not only the interface. A customer sees database values in the language they chose, and anything a customer types is stored in English — with their exact original wording kept alongside so nothing is lost.</w:t>
      </w:r>
    </w:p>
    <w:p>
      <w:pPr>
        <w:pStyle w:val="BodyText"/>
      </w:pPr>
      <w:r>
        <w:t>The two directions:</w:t>
      </w:r>
    </w:p>
    <w:p>
      <w:pPr>
        <w:pStyle w:val="BodyText"/>
      </w:pPr>
      <w:r>
        <w:t>•  Read — data shown in the customer's language: the storefront sends an Accept-Language header on every request; the customer-portal endpoints map product and category names, units of measure, and the glossary-reachable parts of descriptions and support-ticket text into that language on the way out. Database rows are unchanged.</w:t>
      </w:r>
    </w:p>
    <w:p>
      <w:pPr>
        <w:pStyle w:val="BodyText"/>
      </w:pPr>
      <w:r>
        <w:t>•  Write — customer input stored in English: when a customer submits a support ticket, a ticket reply or a delivery address in another language, the text is normalised to English for storage; the row keeps a source_language marker and *_original columns holding the customer's exact words. The customer sees their own wording back while browsing in that language; staff see and store English, with a “show customer's original” toggle on the Support Tickets screen.</w:t>
      </w:r>
    </w:p>
    <w:p>
      <w:pPr>
        <w:pStyle w:val="BodyText"/>
      </w:pPr>
      <w:r>
        <w:t>•  Curated glossary: a bidirectional phrase- and token-level map covers the finite storefront vocabulary — category names, units, address words, and the recurring tokens in product names. Order / invoice / ticket status and priority values are covered by the existing UI catalogue, not the glossary.</w:t>
      </w:r>
    </w:p>
    <w:p>
      <w:pPr>
        <w:pStyle w:val="BodyText"/>
      </w:pPr>
      <w:r>
        <w:t>•  Free-form prose: arbitrary text outside the glossary passes through a TranslationProvider seam whose bundled implementation is a no-op — this proof-of-concept is offline with no translation service. A real provider (a hosted MT service or an LLM) plugs in there and is selected with CONTENT_TRANSLATION_PROVIDER.</w:t>
      </w:r>
    </w:p>
    <w:p>
      <w:pPr>
        <w:pStyle w:val="BodyText"/>
      </w:pPr>
      <w:r>
        <w:t>Mechanism: a new mbms/backend/src/common/translation module — content-glossary.ts (the bidirectional vocabulary), translation.provider.ts (the provider interface plus the no-op IdentityTranslationProvider), content-translation.service.ts (resolveLang from Accept-Language, toLocale for read, toEnglish for write) and a @Global translation.module.ts. One Prisma migration (content_translation_originals) adds source_language and *_original columns to support_tickets, ticket_messages and delivery_addresses. The customer-portal catalog, support and account controllers read the header; SupportService and CustomerAccountService normalise inbound text and persist the originals; the staff SupportService resource and the admin Support Tickets screen expose them.</w:t>
      </w:r>
    </w:p>
    <w:p>
      <w:pPr>
        <w:pStyle w:val="BodyText"/>
      </w:pPr>
      <w:r>
        <w:t>Verified against the running API: catalogue categories return as “Pembejeo za Kilimo / Mafuta / Ghala” in Swahili and product names token-translate (“Maïs Semence — 25kg Sac” in French); a support ticket written in Luganda is stored with an English subject/description, source_language 'lg', and the Luganda originals preserved — the customer still sees their own words, and the same customer viewing in French gets the English glossary-translated into French, not the Luganda original.</w:t>
      </w:r>
    </w:p>
    <w:p>
      <w:pPr>
        <w:pStyle w:val="Heading2"/>
      </w:pPr>
      <w:r>
        <w:t>Impact on this document</w:t>
      </w:r>
    </w:p>
    <w:p>
      <w:pPr>
        <w:pStyle w:val="BodyText"/>
      </w:pPr>
      <w:r>
        <w:t>New functional requirements: (a) customer-portal read endpoints shall return database text in the language given by Accept-Language, as far as the content glossary reaches; (b) text a customer submits (support ticket subject/description, ticket replies, delivery-address label/line) shall be stored in English; (c) the source language and the customer's exact original wording shall be retained; (d) a customer browsing in the language they authored text in sees that original; any other viewer sees the English (glossary-translated to their language). Enum labels are out of glossary scope (handled by the UI catalogue).</w:t>
      </w:r>
    </w:p>
    <w:p>
      <w:pPr>
        <w:pStyle w:val="Heading1"/>
      </w:pPr>
      <w:r>
        <w:t>47. Implementation Status Update 33 (27 August 2026) — Currency &amp; Figure Localisation (Convert for Display, Store Canonical)</w:t>
      </w:r>
    </w:p>
    <w:p>
      <w:pPr>
        <w:pStyle w:val="BodyText"/>
      </w:pPr>
      <w:r>
        <w:t>Localisation now covers money and numerals. A customer sees amounts and figures in the form their language expects; the database keeps a single canonical form (English words, Uganda Shillings, Western 0-9 digits).</w:t>
      </w:r>
    </w:p>
    <w:p>
      <w:pPr>
        <w:pStyle w:val="BodyText"/>
      </w:pPr>
      <w:r>
        <w:t>The behaviour:</w:t>
      </w:r>
    </w:p>
    <w:p>
      <w:pPr>
        <w:pStyle w:val="BodyText"/>
      </w:pPr>
      <w:r>
        <w:t>•  Currency conversion for display: amounts come from the API in Uganda Shillings (UGX). When the customer's chosen language belongs to a region that uses another currency, the storefront converts the amount and formats it for that locale — currency name, value, thousands grouping and decimal mark all follow it. Uganda's languages keep UGX unchanged.</w:t>
      </w:r>
    </w:p>
    <w:p>
      <w:pPr>
        <w:pStyle w:val="BodyText"/>
      </w:pPr>
      <w:r>
        <w:t>•  Numerals in the language's script: digits in localised database text (for example the “25kg” inside a translated product name) and standalone figures (quantities, stock, dashboard counts) are shown in the language's own digit script where it has one — Arabic-Indic for Arabic, Western for the rest.</w:t>
      </w:r>
    </w:p>
    <w:p>
      <w:pPr>
        <w:pStyle w:val="BodyText"/>
      </w:pPr>
      <w:r>
        <w:t>•  Fixed demo rates: conversion uses single constant rates (UGX per unit: USD 3800, EUR 4150, AED 1022, BRL 700), consistent with the existing “no live FX feed” position for this proof-of-concept; a real feed replaces the constants.</w:t>
      </w:r>
    </w:p>
    <w:p>
      <w:pPr>
        <w:pStyle w:val="BodyText"/>
      </w:pPr>
      <w:r>
        <w:t>•  Storage stays canonical: nothing about the stored data changes — monetary columns remain UGX, and any numeral a customer types in a non-Western script is transliterated to 0-9 before storage (their original characters are kept in the *_original columns from the previous change).</w:t>
      </w:r>
    </w:p>
    <w:p>
      <w:pPr>
        <w:pStyle w:val="BodyText"/>
      </w:pPr>
      <w:r>
        <w:t>Mechanism: mbms/storefront/src/lib/format.js gains locale-aware helpers — money() (currency conversion + Intl.NumberFormat with currencyDisplay:'name'), figure() (locale-formatted integers) and localizeDigits() — driven by CURRENCY_BY_LANG, UGX_PER_UNIT and LOCALE_TAG maps. On the backend, ContentTranslationService.toLocale also transliterates digits in text for scripts that need it (DIGIT_SCRIPTS), and toEnglish runs toWesternDigits on every inbound string first — even for an otherwise-unsupported language — so “٥” is stored as “5”. No database schema change and no new endpoint.</w:t>
      </w:r>
    </w:p>
    <w:p>
      <w:pPr>
        <w:pStyle w:val="BodyText"/>
      </w:pPr>
      <w:r>
        <w:t>Verified against the running storefront: in Arabic, catalogue prices read as “93.93 درهم إماراتي” with Arabic-Indic digits in product names (“… ١٠kg …”); in French, every amount is EUR with fr-FR formatting (“3 687,04 euros”). A support ticket typed in Arabic with Arabic-Indic digits is stored with Western digits and the exact original preserved.</w:t>
      </w:r>
    </w:p>
    <w:p>
      <w:pPr>
        <w:pStyle w:val="Heading2"/>
      </w:pPr>
      <w:r>
        <w:t>Impact on this document</w:t>
      </w:r>
    </w:p>
    <w:p>
      <w:pPr>
        <w:pStyle w:val="BodyText"/>
      </w:pPr>
      <w:r>
        <w:t>New functional requirements: (a) the storefront shall display monetary amounts converted from UGX to the currency associated with the chosen language's region, formatted per that locale, while stored values remain UGX; (b) figures and digits shall be rendered in the language's digit script where applicable; (c) numerals a customer submits in a non-Western script shall be normalised to 0-9 before storage, with the original retained. Conversion of currency amounts embedded in free prose is out of scope (provider-seam territory).</w:t>
      </w:r>
    </w:p>
    <w:p>
      <w:pPr>
        <w:pStyle w:val="Heading1"/>
      </w:pPr>
      <w:r>
        <w:t>48. Implementation Status Update 34 (27 August 2026) — Subsidiary Lifecycle &amp; Clearing / Forwarding Subsidiary</w:t>
      </w:r>
    </w:p>
    <w:p>
      <w:pPr>
        <w:pStyle w:val="BodyText"/>
      </w:pPr>
      <w:r>
        <w:t>The Managing Director asked to be able to view, create, update, delete and activate/deactivate subsidiaries and everything under them (users, branches, departments, policies), and to set up a new Clearing, Forwarding &amp; Logistics subsidiary. Both are done: the subsidiary lifecycle is fully manageable, and “Morise Clearing &amp; Forwarding Ltd” now exists as a real subsidiary.</w:t>
      </w:r>
    </w:p>
    <w:p>
      <w:pPr>
        <w:pStyle w:val="BodyText"/>
      </w:pPr>
      <w:r>
        <w:t>What was delivered:</w:t>
      </w:r>
    </w:p>
    <w:p>
      <w:pPr>
        <w:pStyle w:val="BodyText"/>
      </w:pPr>
      <w:r>
        <w:t>•  MD gains full company + user administration: the Managing Director role now holds organization.company.manage and identity.user.manage in addition to its group-wide view, so an MD can create and change subsidiaries and the users, branches, departments and policies under them (previously view-only).</w:t>
      </w:r>
    </w:p>
    <w:p>
      <w:pPr>
        <w:pStyle w:val="BodyText"/>
      </w:pPr>
      <w:r>
        <w:t>•  Delete and execute controls added: new endpoints — DELETE /organization/companies/{id} (and the same for branches, departments and policies), plus POST .../companies/{id}/activate and /deactivate. A company can only be hard-deleted once it is genuinely empty; otherwise the response says to deactivate it instead. The root holding company can never be deleted or deactivated. Every action is audited (organization.*.deleted / .updated).</w:t>
      </w:r>
    </w:p>
    <w:p>
      <w:pPr>
        <w:pStyle w:val="BodyText"/>
      </w:pPr>
      <w:r>
        <w:t>•  Admin UI: the Companies list gains per-row Activate/Deactivate and Delete for subsidiaries; the Company detail screen gains Delete on each branch, department and policy row and Activate/Deactivate/Delete for the subsidiary itself. All gated to Managing Director / Super Administrator / IT Administrator.</w:t>
      </w:r>
    </w:p>
    <w:p>
      <w:pPr>
        <w:pStyle w:val="BodyText"/>
      </w:pPr>
      <w:r>
        <w:t>•  New subsidiary seeded: Morise Clearing &amp; Forwarding Ltd — wholly-owned (100%), UGX — with six border/airport branches (Kampala HQ, Malaba, Busia, Entebbe Airport, Mutukula, Elegu), eight departments (Customs Clearance, Freight Forwarding, Warehousing, Logistics &amp; Supply Chain, Export Facilitation, Fleet Management, Client Services, Finance &amp; Billing) and four starter policies (KYC, disbursement pre-funding, demurrage escalation, tax/levy rate configuration).</w:t>
      </w:r>
    </w:p>
    <w:p>
      <w:pPr>
        <w:pStyle w:val="BodyText"/>
      </w:pPr>
      <w:r>
        <w:t>The subsidiary's multi-module clearing/forwarding/logistics system — sixteen feature areas covering client &amp; CRM, job files, customs clearance with the URA duty/tax engine, freight forwarding, logistics &amp; supply chain, export facilitation, warehousing, multi-branch management, finance &amp; billing, document management, tracking &amp; notifications, reporting &amp; analytics, compliance &amp; risk, integrations, mobile apps and administration/security — is specified in a new document, 19_Clearing, Forwarding and Logistics System — Feature Specification, with a five-phase delivery backlog. None of those modules are built in the current MBMS slice; where the platform already has a capability (identity, org, finance, audit, notifications) the subsidiary will reuse it.</w:t>
      </w:r>
    </w:p>
    <w:p>
      <w:pPr>
        <w:pStyle w:val="BodyText"/>
      </w:pPr>
      <w:r>
        <w:t>Changes: backend organization service — companies/branches/departments/policies services and controllers gain remove(), companies gains setStatus() with activate/deactivate endpoints; seed.ts grants the MD role the two permissions and seeds the subsidiary org structure; admin frontend Companies.jsx and CompanyDetail.jsx gain the delete / activate-deactivate controls. No schema change. Verified end-to-end: the MD created, updated, added branch/department/policy to and deleted a test subsidiary, activated/deactivated it, and was correctly blocked (409, “deactivate instead”) from deleting the populated Clearing &amp; Forwarding subsidiary.</w:t>
      </w:r>
    </w:p>
    <w:p>
      <w:pPr>
        <w:pStyle w:val="Heading2"/>
      </w:pPr>
      <w:r>
        <w:t>Impact on this document</w:t>
      </w:r>
    </w:p>
    <w:p>
      <w:pPr>
        <w:pStyle w:val="BodyText"/>
      </w:pPr>
      <w:r>
        <w:t>New functional requirements: the Managing Director may create, update, delete and activate/deactivate a subsidiary and its branches, departments and policies, and administer its users. A subsidiary may only be hard-deleted when it has no subsidiaries, branches, departments, employees, customers, suppliers, products, ledger accounts or inter-company transactions; otherwise it is deactivated. The root holding company is not deletable or deactivatable. The Clearing, Forwarding &amp; Logistics subsidiary's functional requirements are catalogued in doc 19.</w:t>
      </w:r>
    </w:p>
    <w:p>
      <w:pPr>
        <w:pStyle w:val="Heading1"/>
      </w:pPr>
      <w:r>
        <w:t>49. Implementation Status Update 35 (27 August 2026) — Warehouse Management Subsidiary</w:t>
      </w:r>
    </w:p>
    <w:p>
      <w:pPr>
        <w:pStyle w:val="BodyText"/>
      </w:pPr>
      <w:r>
        <w:t>Using the subsidiary-lifecycle capability delivered in the previous change, the Managing Director set up a second new subsidiary: a multi-branch warehouse operation for Uganda. It exists as a real, manageable subsidiary; its Warehouse Management System is specified as future scope.</w:t>
      </w:r>
    </w:p>
    <w:p>
      <w:pPr>
        <w:pStyle w:val="BodyText"/>
      </w:pPr>
      <w:r>
        <w:t>What was delivered:</w:t>
      </w:r>
    </w:p>
    <w:p>
      <w:pPr>
        <w:pStyle w:val="BodyText"/>
      </w:pPr>
      <w:r>
        <w:t>•  New subsidiary seeded: Morise Warehouse Management Ltd — wholly-owned (100%), UGX — a subsidiary of Morise Holdings Limited.</w:t>
      </w:r>
    </w:p>
    <w:p>
      <w:pPr>
        <w:pStyle w:val="BodyText"/>
      </w:pPr>
      <w:r>
        <w:t>•  Branches: five warehouse branches: Kampala Central, Jinja, Mbarara, Gulu and Mbale.</w:t>
      </w:r>
    </w:p>
    <w:p>
      <w:pPr>
        <w:pStyle w:val="BodyText"/>
      </w:pPr>
      <w:r>
        <w:t>•  Departments: nine: Branch Operations, Inventory Control, Receiving &amp; Putaway, Order Fulfilment, Yard &amp; Dock, Reporting &amp; BI, IT &amp; Integrations, Compliance &amp; Security, and Field &amp; Mobile Operations.</w:t>
      </w:r>
    </w:p>
    <w:p>
      <w:pPr>
        <w:pStyle w:val="BodyText"/>
      </w:pPr>
      <w:r>
        <w:t>•  Starter policies: FEFO/FIFO stock rotation, cycle-count schedule, write-off &amp; transfer approval threshold, EFRIS/VAT configuration, and offline operation &amp; sync.</w:t>
      </w:r>
    </w:p>
    <w:p>
      <w:pPr>
        <w:pStyle w:val="BodyText"/>
      </w:pPr>
      <w:r>
        <w:t>The subsidiary's Warehouse Management System — twelve feature areas covering multi-location &amp; branch management, core inventory (batch/lot, serial, multi-UOM, cycle counting, ABC), receiving &amp; putaway with barcode scanning and cross-docking, order fulfilment (wave/zone picking, kitting, manifests, carrier integration), Uganda-specific features (multi-currency, 18% VAT with EFRIS/URA, mobile money, offline mode, Luganda/Swahili/Runyankole-Rukiga interfaces, power-outage resilience, road-condition alerts), yard &amp; dock management, reporting &amp; BI, integrations &amp; APIs, mobile &amp; field capabilities, security &amp; compliance (aligned with the Data Protection and Privacy Act 2019), advanced/future-ready features (AI forecasting, IoT cold-chain, RFID, AGV, blockchain traceability) and user management &amp; workflow — is specified in a new document, 20_Warehouse Management System (WMS) — Feature Specification, with a five-phase delivery backlog. None of those modules are built in the current MBMS slice; the WMS reuses the platform's identity, organisation, finance, audit, notification and localisation capabilities where they already exist.</w:t>
      </w:r>
    </w:p>
    <w:p>
      <w:pPr>
        <w:pStyle w:val="BodyText"/>
      </w:pPr>
      <w:r>
        <w:t>Changes: seed.ts seeds the subsidiary org structure (company, 5 branches, 9 departments, 5 policies) under the holding company. No code or schema change — the Managing Director already has full create/update/delete/activate over subsidiaries and their branches, departments and policies from the previous change. Verified: as the Managing Director, the subsidiary and all five branches, nine departments and five policies are visible and manageable through the admin Companies screens.</w:t>
      </w:r>
    </w:p>
    <w:p>
      <w:pPr>
        <w:pStyle w:val="Heading2"/>
      </w:pPr>
      <w:r>
        <w:t>Impact on this document</w:t>
      </w:r>
    </w:p>
    <w:p>
      <w:pPr>
        <w:pStyle w:val="BodyText"/>
      </w:pPr>
      <w:r>
        <w:t>The WMS's functional requirements are catalogued in doc 20 (twelve modules). No new platform functional requirement here — the subsidiary is created with the existing company / branch / department / policy capability.</w:t>
      </w:r>
    </w:p>
    <w:p>
      <w:pPr>
        <w:pStyle w:val="Heading1"/>
      </w:pPr>
      <w:r>
        <w:t>50. Implementation Status Update 36 (28 August 2026) — Inventory Section Activated</w:t>
      </w:r>
    </w:p>
    <w:p>
      <w:pPr>
        <w:pStyle w:val="BodyText"/>
      </w:pPr>
      <w:r>
        <w:t>The Admin sidebar's Inventory item, under ADMIN / BACKEND, was a “Coming Soon” placeholder from the navigation redesign. It is now a working screen: company-level stock on hand, per-product re-order points, stock adjustments and an immutable movement ledger.</w:t>
      </w:r>
    </w:p>
    <w:p>
      <w:pPr>
        <w:pStyle w:val="BodyText"/>
      </w:pPr>
      <w:r>
        <w:t>What was delivered:</w:t>
      </w:r>
    </w:p>
    <w:p>
      <w:pPr>
        <w:pStyle w:val="BodyText"/>
      </w:pPr>
      <w:r>
        <w:t>•  Stock on hand: each product keeps one stock-on-hand figure (products.stock_quantity). The Inventory screen lists every product with its code, category, unit of measure, on-hand quantity, unit price, stock value and a status of In stock / Low / Out of stock.</w:t>
      </w:r>
    </w:p>
    <w:p>
      <w:pPr>
        <w:pStyle w:val="BodyText"/>
      </w:pPr>
      <w:r>
        <w:t>•  Re-order points: a new products.reorder_point column. A product at or below its re-order point is flagged Low; at zero it is flagged Out of stock. Set or cleared from the screen (PUT /inventory/products/{id}/reorder-point).</w:t>
      </w:r>
    </w:p>
    <w:p>
      <w:pPr>
        <w:pStyle w:val="BodyText"/>
      </w:pPr>
      <w:r>
        <w:t>•  Stock adjustments: POST /inventory/adjustments records one change: receipt (goods in, adds), issue (goods out, subtracts, with an over-issue guard — 409 if more than is in stock), or count (a physical count; the counted figure becomes the on-hand and the signed difference is recorded). Requires product.manage.</w:t>
      </w:r>
    </w:p>
    <w:p>
      <w:pPr>
        <w:pStyle w:val="BodyText"/>
      </w:pPr>
      <w:r>
        <w:t>•  Movement ledger: a new stock_movements table (with a StockMovementType enum: receipt / issue / count). Every adjustment writes an immutable row — signed quantity, resulting balance, reason, reference, user and timestamp — shown newest-first on the screen's Movements tab and readable at GET /inventory/movements.</w:t>
      </w:r>
    </w:p>
    <w:p>
      <w:pPr>
        <w:pStyle w:val="BodyText"/>
      </w:pPr>
      <w:r>
        <w:t>•  Access &amp; audit: reads are scoped per BR-01 exactly like the product list (a user sees stock only for companies in their scope, unless they hold product.viewAll group-wide). Every adjustment and threshold change is written to the audit trail (inventory.stock.adjusted, inventory.reorder_point.updated).</w:t>
      </w:r>
    </w:p>
    <w:p>
      <w:pPr>
        <w:pStyle w:val="BodyText"/>
      </w:pPr>
      <w:r>
        <w:t>Backend: a new module, src/inventory (controller, service, DTOs), registered in app.module.ts. Migration 20260828120000_inventory_stock_movements adds products.reorder_point, the stock_movements table and the StockMovementType enum. The seed gives the catalogue products a re-order point and an opening-balance movement so the screen and ledger have content on a fresh database.</w:t>
      </w:r>
    </w:p>
    <w:p>
      <w:pPr>
        <w:pStyle w:val="BodyText"/>
      </w:pPr>
      <w:r>
        <w:t>Frontend: a new page, src/pages/Inventory.jsx, replacing the &lt;ComingSoon&gt; stub for /inventory in App.jsx; the sidebar entry loses its “Soon” badge. KPI tiles (stock-keeping units, low stock, out of stock, total stock value), a company selector, search and a low/out-of-stock filter, an Adjust dialog (type, quantity, reason, reference, with the projected new on-hand shown) and a Re-order point dialog. The route is permission-filtered like every other admin screen — visible to holders of product.viewAll or product.manage.</w:t>
      </w:r>
    </w:p>
    <w:p>
      <w:pPr>
        <w:pStyle w:val="BodyText"/>
      </w:pPr>
      <w:r>
        <w:t>Scope boundary: this is company-level inventory only — one stock figure per product. Per-branch stock balances, bin/location tracking and inter-branch transfers remain Warehouse Management System scope (20_Warehouse Management System (WMS) — Feature Specification, Module 2 “Core Inventory Management”); this Update is the first working slice of that module on the shared platform. No change to roles or permissions — the existing product.viewAll / product.manage pair gates the screen.</w:t>
      </w:r>
    </w:p>
    <w:p>
      <w:pPr>
        <w:pStyle w:val="Heading2"/>
      </w:pPr>
      <w:r>
        <w:t>Impact on this document</w:t>
      </w:r>
    </w:p>
    <w:p>
      <w:pPr>
        <w:pStyle w:val="BodyText"/>
      </w:pPr>
      <w:r>
        <w:t>Requirements: FR set for the Inventory module — view stock on hand and stock value per product; maintain a re-order point; record stock adjustments of type receipt / issue / count with reason and reference; prevent issuing more than is in stock; keep an immutable movement history. Reads honour BR-01 scope; writes require product.manage.</w:t>
      </w:r>
    </w:p>
    <w:p>
      <w:pPr>
        <w:pStyle w:val="Heading1"/>
      </w:pPr>
      <w:r>
        <w:t>51. Implementation Status Update 37 (28 August 2026) — Marketing &amp; Promos and CMS / Site Builder Activated</w:t>
      </w:r>
    </w:p>
    <w:p>
      <w:pPr>
        <w:pStyle w:val="BodyText"/>
      </w:pPr>
      <w:r>
        <w:t>Two more ADMIN / BACKEND placeholders — Marketing &amp; Promos and CMS / Site Builder — are now working screens, and the customer storefront consumes both.</w:t>
      </w:r>
    </w:p>
    <w:p>
      <w:pPr>
        <w:pStyle w:val="BodyText"/>
      </w:pPr>
      <w:r>
        <w:t>What was delivered:</w:t>
      </w:r>
    </w:p>
    <w:p>
      <w:pPr>
        <w:pStyle w:val="BodyText"/>
      </w:pPr>
      <w:r>
        <w:t>•  Discount codes: a new discount_codes table (DiscountType percentage/fixed, DiscountCodeStatus). Staff create codes with a value, optional minimum order, validity window and redemption cap; the storefront validates a code at the cart (POST /customer-portal/discount-codes/validate) and the order-placement path re-validates and redeems it once, taking the discount off the subtotal before VAT and delivery. Orders gain discount_code and discount_amount columns.</w:t>
      </w:r>
    </w:p>
    <w:p>
      <w:pPr>
        <w:pStyle w:val="BodyText"/>
      </w:pPr>
      <w:r>
        <w:t>•  Promo banners: a new promo_banners table. Staff manage heading, body, link, placement, schedule and active flag; the storefront home renders the currently-live banners (GET /customer-portal/promo-banners).</w:t>
      </w:r>
    </w:p>
    <w:p>
      <w:pPr>
        <w:pStyle w:val="BodyText"/>
      </w:pPr>
      <w:r>
        <w:t>•  CMS content pages: a new content_blocks table (ContentBlockStatus draft/published). Each page has a working copy and a published snapshot; editing never affects what the storefront serves until Publish. The storefront renders published pages at /page/{slug} (GET /customer-portal/content, /content/{slug}) — About, Terms, Delivery are seeded.</w:t>
      </w:r>
    </w:p>
    <w:p>
      <w:pPr>
        <w:pStyle w:val="BodyText"/>
      </w:pPr>
      <w:r>
        <w:t>•  Access &amp; audit: two new permission pairs — marketing.manage / marketing.viewAll (operations domain) and cms.manage / cms.viewAll (governance domain). Reads need the viewAll or the manage code; writes need manage. Discount codes and banners are per-company and scoped per BR-01; content pages are site-wide. Every change is audited (marketing.discount_code.*, marketing.banner.*, cms.content_block.*).</w:t>
      </w:r>
    </w:p>
    <w:p>
      <w:pPr>
        <w:pStyle w:val="BodyText"/>
      </w:pPr>
      <w:r>
        <w:t>Backend: new modules src/marketing and src/cms, plus a customer-portal/storefront sub-module for the public content and authenticated promo/validate endpoints. A shared, database-free evaluateDiscountCode() is used by both the storefront validate endpoint and OrdersService so the cart and the placed order can never disagree on the discount. Migration 20260828160000_marketing_promos_cms adds the three tables, their enums and the two order columns. The seed adds demo discount codes (including an expired one), a promo banner and the About / Terms / Delivery content pages, and wires the four permissions to Super Administrator (all), Managing Director (viewAll), IT Administrator (all, demo break-glass) and Sales Manager (marketing).</w:t>
      </w:r>
    </w:p>
    <w:p>
      <w:pPr>
        <w:pStyle w:val="BodyText"/>
      </w:pPr>
      <w:r>
        <w:t>Admin frontend: new pages src/pages/Marketing.jsx (Discount codes / Banners tabs with CRUD and activate/deactivate) and src/pages/Cms.jsx (page list + editor + Save draft / Publish / Unpublish / Delete), replacing the &lt;ComingSoon&gt; stubs for /marketing and /cms in App.jsx; both sidebar entries lose their “Soon” badge and are permission-filtered on the new codes.</w:t>
      </w:r>
    </w:p>
    <w:p>
      <w:pPr>
        <w:pStyle w:val="BodyText"/>
      </w:pPr>
      <w:r>
        <w:t>Storefront: the cart gains a discount-code field that applies and shows a discount line and revised total; the home page renders active promo banners; a new public /page/{slug} route renders published content, linked from the Landing footer (About / Terms &amp; Conditions / Delivery &amp; Returns).</w:t>
      </w:r>
    </w:p>
    <w:p>
      <w:pPr>
        <w:pStyle w:val="Heading2"/>
      </w:pPr>
      <w:r>
        <w:t>Impact on this document</w:t>
      </w:r>
    </w:p>
    <w:p>
      <w:pPr>
        <w:pStyle w:val="BodyText"/>
      </w:pPr>
      <w:r>
        <w:t>Requirements: FR sets for Marketing &amp; Promos (create/edit discount codes with type, value, minimum order, validity window and redemption cap; manage promo banners; validate and redeem a code at checkout, once) and CMS / Site Builder (create/edit content pages; draft vs published; the storefront serves only the published snapshot). Reads honour BR-01 scope / the new viewAll codes; writes need the new manage codes.</w:t>
      </w:r>
    </w:p>
    <w:p>
      <w:pPr>
        <w:pStyle w:val="Heading1"/>
      </w:pPr>
      <w:r>
        <w:t>52. Implementation Status Update 38 (28 August 2026) — Managing Director Full Control of Marketing &amp; CMS</w:t>
      </w:r>
    </w:p>
    <w:p>
      <w:pPr>
        <w:pStyle w:val="BodyText"/>
      </w:pPr>
      <w:r>
        <w:t>When Marketing &amp; Promos and CMS / Site Builder were activated earlier today, the Managing Director held only the read (viewAll) permissions for both — the create / edit / publish controls appeared but writes were refused (403). At the Managing Director's request, the role now holds the full manage permissions for both sections.</w:t>
      </w:r>
    </w:p>
    <w:p>
      <w:pPr>
        <w:pStyle w:val="BodyText"/>
      </w:pPr>
      <w:r>
        <w:t>What changed:</w:t>
      </w:r>
    </w:p>
    <w:p>
      <w:pPr>
        <w:pStyle w:val="BodyText"/>
      </w:pPr>
      <w:r>
        <w:t>•  Managing Director role: gains marketing.manage and cms.manage (it already held marketing.viewAll and cms.viewAll). Seeded in seed.ts alongside the organization.company.manage / identity.user.manage the role already holds for the subsidiary lifecycle.</w:t>
      </w:r>
    </w:p>
    <w:p>
      <w:pPr>
        <w:pStyle w:val="BodyText"/>
      </w:pPr>
      <w:r>
        <w:t>•  Marketing &amp; Promos: the Managing Director can now view, create, update, delete and execute (activate / deactivate) discount codes, and view, create, update and delete promotional banners, group-wide.</w:t>
      </w:r>
    </w:p>
    <w:p>
      <w:pPr>
        <w:pStyle w:val="BodyText"/>
      </w:pPr>
      <w:r>
        <w:t>•  CMS / Site Builder: the Managing Director can now view, create, update, publish, unpublish and delete storefront content pages.</w:t>
      </w:r>
    </w:p>
    <w:p>
      <w:pPr>
        <w:pStyle w:val="BodyText"/>
      </w:pPr>
      <w:r>
        <w:t>•  New endpoint: DELETE /api/v1/marketing/discount-codes/{id} was added so a discount code can be removed outright, not only deactivated. It is safe because orders.discount_code stores the code as text, so an order placed with a code keeps its record after the code is deleted. Requires marketing.manage.</w:t>
      </w:r>
    </w:p>
    <w:p>
      <w:pPr>
        <w:pStyle w:val="BodyText"/>
      </w:pPr>
      <w:r>
        <w:t>No schema change and no change to the delegation rules — marketing.manage is an operations-domain permission and cms.manage a governance-domain permission, both already delegable by the Managing Director (all domains, group-wide). The permission guard is an any-of match on the caller's effective permissions, so adding the two codes to the role is sufficient; the admin screens already showed the controls to this role because it holds identity.user.manage.</w:t>
      </w:r>
    </w:p>
    <w:p>
      <w:pPr>
        <w:pStyle w:val="BodyText"/>
      </w:pPr>
      <w:r>
        <w:t>Verified as the Managing Director: create, update, deactivate and delete a discount code; create, update and delete a promo banner; create, update, publish, unpublish and delete a content page — every call returned 200 or 201. A role without the codes (Auditor) is still refused (403).</w:t>
      </w:r>
    </w:p>
    <w:p>
      <w:pPr>
        <w:pStyle w:val="Heading2"/>
      </w:pPr>
      <w:r>
        <w:t>Impact on this document</w:t>
      </w:r>
    </w:p>
    <w:p>
      <w:pPr>
        <w:pStyle w:val="BodyText"/>
      </w:pPr>
      <w:r>
        <w:t>Requirements: the Marketing and CMS FR sets are unchanged; the access rule for the Managing Director moves from read-only to full manage, and a delete action is added for discount codes.</w:t>
      </w:r>
    </w:p>
    <w:p>
      <w:pPr>
        <w:pStyle w:val="Heading1"/>
      </w:pPr>
      <w:r>
        <w:t>53. Implementation Status Update 39 (28 August 2026) — Localisation Extended to Promo Banners &amp; CMS Content</w:t>
      </w:r>
    </w:p>
    <w:p>
      <w:pPr>
        <w:pStyle w:val="BodyText"/>
      </w:pPr>
      <w:r>
        <w:t>The database-content localisation delivered earlier (read in the customer's language, store the customer's input in English) covered the catalogue, support tickets and delivery addresses. The two storefront surfaces activated since then — promotional banners and CMS content pages — were still served as stored English. They now pass through the same translation seam.</w:t>
      </w:r>
    </w:p>
    <w:p>
      <w:pPr>
        <w:pStyle w:val="BodyText"/>
      </w:pPr>
      <w:r>
        <w:t>What changed:</w:t>
      </w:r>
    </w:p>
    <w:p>
      <w:pPr>
        <w:pStyle w:val="BodyText"/>
      </w:pPr>
      <w:r>
        <w:t>•  Promo banners: GET /customer-portal/promo-banners now honours Accept-Language: heading, body and link label are rendered in the customer's chosen language through the content-translation glossary, and digits are shown in the language's own script (e.g. Arabic-Indic for Arabic).</w:t>
      </w:r>
    </w:p>
    <w:p>
      <w:pPr>
        <w:pStyle w:val="BodyText"/>
      </w:pPr>
      <w:r>
        <w:t>•  CMS content pages: GET /customer-portal/content and /content/{slug} now honour Accept-Language: the page title and body are rendered in the customer's language. The canonical stored value stays English; only the response is localised.</w:t>
      </w:r>
    </w:p>
    <w:p>
      <w:pPr>
        <w:pStyle w:val="BodyText"/>
      </w:pPr>
      <w:r>
        <w:t>•  Discount-code messages: the checkout discount validator returns a stable messageKey (with parameters where needed, e.g. the minimum order amount) instead of only an English sentence, so the storefront shows “that code has expired”, “this code needs a subtotal of at least …”, etc. in the chosen language. An English message is still returned as a fallback and is what the 409 on order placement carries server-side.</w:t>
      </w:r>
    </w:p>
    <w:p>
      <w:pPr>
        <w:pStyle w:val="BodyText"/>
      </w:pPr>
      <w:r>
        <w:t>•  Glossary + provider seam: the curated glossary gains the seeded banner and content strings for the eight fully-translated languages (Swahili, Luganda, French, Spanish, Portuguese, German, Italian, Arabic). Body prose beyond the curated entries still falls through to the translation provider, whose bundled implementation is a no-op until a real machine-translation service is configured — the same documented boundary as for product descriptions and ticket bodies.</w:t>
      </w:r>
    </w:p>
    <w:p>
      <w:pPr>
        <w:pStyle w:val="BodyText"/>
      </w:pPr>
      <w:r>
        <w:t>Write direction is unchanged and was re-verified: a customer typing in another language still has their input normalised to English on save, with the original wording kept alongside (support tickets, delivery addresses). Nothing in the promo / CMS flows is customer-typed — a discount code is a language-neutral identifier and the subtotal is computed client-side in Western digits — so no new store-in-English handling was required there.</w:t>
      </w:r>
    </w:p>
    <w:p>
      <w:pPr>
        <w:pStyle w:val="BodyText"/>
      </w:pPr>
      <w:r>
        <w:t>Changes: marketing.service.ts and cms.service.ts take a language argument and localise their storefront responses via ContentTranslationService; customer-storefront.controller.ts reads Accept-Language and resolves it; discount.util.ts adds messageKey / messageParams to every outcome; the storefront cart renders the message key through its i18n catalogue; content-glossary.ts and the eight-language storefront locale files gain the new strings. No schema change. Verified: promo banner and About / Terms / Delivery pages render in French, Swahili, German and Arabic (with Arabic-Indic digits); the English view is unchanged; a delivery address typed in Swahili is still stored as English with the original kept.</w:t>
      </w:r>
    </w:p>
    <w:p>
      <w:pPr>
        <w:pStyle w:val="Heading2"/>
      </w:pPr>
      <w:r>
        <w:t>Impact on this document</w:t>
      </w:r>
    </w:p>
    <w:p>
      <w:pPr>
        <w:pStyle w:val="BodyText"/>
      </w:pPr>
      <w:r>
        <w:t>Requirements: the content-localisation FR set (read in the chosen language; store customer input in English with the original retained) is extended to promo banners and CMS content pages. Discount-validation responses carry a language-independent message key.</w:t>
      </w:r>
    </w:p>
    <w:p>
      <w:pPr>
        <w:pStyle w:val="Heading1"/>
      </w:pPr>
      <w:r>
        <w:t>54. Implementation Status Update 40 (28 August 2026) — HR Dashboard &amp; Departments Sections Activated</w:t>
      </w:r>
    </w:p>
    <w:p>
      <w:pPr>
        <w:pStyle w:val="BodyText"/>
      </w:pPr>
      <w:r>
        <w:t>Two HUMAN RESOURCES placeholders from the navigation redesign — HR Dashboard and Departments — are now working screens.</w:t>
      </w:r>
    </w:p>
    <w:p>
      <w:pPr>
        <w:pStyle w:val="BodyText"/>
      </w:pPr>
      <w:r>
        <w:t>What was delivered:</w:t>
      </w:r>
    </w:p>
    <w:p>
      <w:pPr>
        <w:pStyle w:val="BodyText"/>
      </w:pPr>
      <w:r>
        <w:t>•  HR Dashboard: a new read-only endpoint GET /api/v1/hr/dashboard aggregates the employee, attendance, leave and recruitment modules into four groups: headcount (active / inactive, and by company, branch, department and contract type); attendance over the last 30 days (records, absence rate, late rate, present / half-day); recruitment (open vacancies, positions open, awaiting approval, and the candidate pipeline by stage); and upcoming events over the next 30 days (contracts ending, probation ending, approved leave starting). Visible to any holder of an HR viewAll permission (employee / recruitment / attendance / leave / performance); figures are group-wide for those holders and limited to the caller's companies otherwise.</w:t>
      </w:r>
    </w:p>
    <w:p>
      <w:pPr>
        <w:pStyle w:val="BodyText"/>
      </w:pPr>
      <w:r>
        <w:t>•  Departments: a dedicated management screen. A new endpoint GET /api/v1/organization/departments lists every department across the companies in the caller's scope, each with its company name and current headcount. Create, rename and delete reuse the existing organization endpoints (POST /organization/companies/{id}/departments, PATCH and DELETE /organization/departments/{id}); the delete is still blocked (409) while staff are assigned. Writes require organization.company.manage; the list is also visible to organization.company.viewAll / employee.viewAll / recruitment.viewAll holders as a read-only view.</w:t>
      </w:r>
    </w:p>
    <w:p>
      <w:pPr>
        <w:pStyle w:val="BodyText"/>
      </w:pPr>
      <w:r>
        <w:t>•  Demo data: Morise Agro Ltd gains three departments (Field Operations, Finance &amp; Administration, Warehouse &amp; Distribution) with its three employees assigned one each; about three working weeks of recent attendance records with a realistic scatter of late / absent days; one fixed-term contract ending in about three weeks; and one approved leave starting in about ten days — so both screens show live figures on a fresh database.</w:t>
      </w:r>
    </w:p>
    <w:p>
      <w:pPr>
        <w:pStyle w:val="BodyText"/>
      </w:pPr>
      <w:r>
        <w:t>Backend: a new module src/hr-dashboard (controller + service), registered in app.module.ts; src/organization/departments gains a listAll() service method and a GET route on the /organization/departments controller. No schema change and no new permission — the HR Dashboard is gated on the existing HR viewAll codes, Departments management on the existing organization.company.manage.</w:t>
      </w:r>
    </w:p>
    <w:p>
      <w:pPr>
        <w:pStyle w:val="BodyText"/>
      </w:pPr>
      <w:r>
        <w:t>Admin frontend: new pages src/pages/Hr.jsx (KPI tiles + breakdown tables + pipeline + upcoming-events lists) and src/pages/Departments.jsx (filterable table with headcount, plus New / Rename / Delete for managers), replacing the &lt;ComingSoon&gt; stubs for /hr and /departments in App.jsx; both sidebar entries lose their “Soon” badge and are permission-filtered. Verified: as the Managing Director the HR Dashboard returns headcount 3 across 3 departments, 45 attendance records (4.4% absence, 13.3% late), the recruitment pipeline, and the seeded contract-ending and leave-starting rows; a Human Resources Manager sees the same (group-wide for its own function); a Sales Manager without an HR viewAll permission is refused (403). Departments create / rename / delete all succeed, and deleting a department that still has staff is refused (409).</w:t>
      </w:r>
    </w:p>
    <w:p>
      <w:pPr>
        <w:pStyle w:val="Heading2"/>
      </w:pPr>
      <w:r>
        <w:t>Impact on this document</w:t>
      </w:r>
    </w:p>
    <w:p>
      <w:pPr>
        <w:pStyle w:val="BodyText"/>
      </w:pPr>
      <w:r>
        <w:t>Requirements: FR set for the HR Dashboard (aggregate headcount by company / branch / department / contract type; attendance absence and late rates for a rolling window; open vacancies and pipeline by stage; contracts, probation and leave due in a rolling window) and for Departments (list across companies with headcount; create / rename / delete, delete blocked while staffed). Reads honour BR-01 scope / the HR viewAll codes.</w:t>
      </w:r>
    </w:p>
    <w:p>
      <w:pPr>
        <w:pStyle w:val="Heading1"/>
      </w:pPr>
      <w:r>
        <w:t>55. Implementation Status Update 41 (28 August 2026) — Shift Scheduling &amp; Payroll Sections Activated</w:t>
      </w:r>
    </w:p>
    <w:p>
      <w:pPr>
        <w:pStyle w:val="BodyText"/>
      </w:pPr>
      <w:r>
        <w:t>The last two HUMAN RESOURCES placeholders from the navigation redesign — Shift Scheduling and Payroll — are now working modules.</w:t>
      </w:r>
    </w:p>
    <w:p>
      <w:pPr>
        <w:pStyle w:val="BodyText"/>
      </w:pPr>
      <w:r>
        <w:t>What was delivered:</w:t>
      </w:r>
    </w:p>
    <w:p>
      <w:pPr>
        <w:pStyle w:val="BodyText"/>
      </w:pPr>
      <w:r>
        <w:t>•  Shift Scheduling: a new roster_entries table (RosterEntry: one employee x one calendar day -&gt; one shift template, status planned or published; one entry per employee per day, a second is rejected as a clash). Endpoints GET/POST/DELETE /api/v1/shift-scheduling/entries, POST /shift-scheduling/publish (promotes a date range from planned to published and notifies the affected employees) and GET /shift-scheduling/coverage (per-day staffed count, unrostered count and clash flags — an employee rostered on a day they are also on approved leave). Roster writes reuse attendance.manage; no new permission was added for shift scheduling.</w:t>
      </w:r>
    </w:p>
    <w:p>
      <w:pPr>
        <w:pStyle w:val="BodyText"/>
      </w:pPr>
      <w:r>
        <w:t>•  Payroll: a monthly payroll run. Employee gains gross_salary and pay_frequency. New payroll_runs, payslips and salary_advances tables with their status enums. POST /api/v1/payroll/runs computes, per active employee with a gross salary, the Uganda PAYE (income-tax bands) and NSSF (5% employee, 10% employer) figures plus any approved salary-advance instalment, and produces a payslip; the run moves draft -&gt; approved -&gt; paid. Paying it posts a balanced journal entry (Dr staff costs = gross + employer NSSF; Cr PAYE Payable, NSSF Payable, Staff Advances and Salaries Payable) and advances each recovered salary advance.</w:t>
      </w:r>
    </w:p>
    <w:p>
      <w:pPr>
        <w:pStyle w:val="BodyText"/>
      </w:pPr>
      <w:r>
        <w:t>•  Salary advances: GET /payroll/salary-advances, POST (request), and POST .../approve | .../reject. An approved advance is recovered in instalments (amount / instalments, capped at the outstanding balance and never taking net pay below zero) automatically on each payroll run, and flips to recovered when fully repaid.</w:t>
      </w:r>
    </w:p>
    <w:p>
      <w:pPr>
        <w:pStyle w:val="BodyText"/>
      </w:pPr>
      <w:r>
        <w:t>•  Permissions &amp; roles: three new permissions (hr domain): payroll.manage (create a run, request an advance), payroll.approve (approve / pay a run, approve / reject an advance) and payroll.viewAll. Seeded to Super Administrator and IT Administrator (all three), Human Resources Manager (manage + viewAll), Managing Director and Finance Manager (approve + viewAll) — the same prepare-vs-approve split already used for expenses. The delegation rules are unchanged (hr-domain permissions are already delegable by the HR Manager).</w:t>
      </w:r>
    </w:p>
    <w:p>
      <w:pPr>
        <w:pStyle w:val="BodyText"/>
      </w:pPr>
      <w:r>
        <w:t>Backend: new modules src/shift-scheduling and src/payroll (with a database-free src/payroll/uganda-statutory.util.ts for the PAYE / NSSF calculation), registered in app.module.ts. Migration 20260828190000_shift_scheduling_payroll adds the four tables, the three enums and the two Employee columns. The seed sets a gross salary on the demo Agro employees, a published roster for the current week and a planned one for next week, and one approved salary advance.</w:t>
      </w:r>
    </w:p>
    <w:p>
      <w:pPr>
        <w:pStyle w:val="BodyText"/>
      </w:pPr>
      <w:r>
        <w:t>Admin frontend: new pages src/pages/ShiftScheduling.jsx (a weekly employee x day roster grid with a coverage row, add / remove assignment and a one-click Publish) and src/pages/Payroll.jsx (payroll runs with a payslip breakdown and approve / pay / cancel, and a salary-advances tab), replacing the &lt;ComingSoon&gt; stubs for /shift-scheduling and /payroll in App.jsx; both sidebar entries lose their “Soon” badge and are permission-filtered. Verified: a Human Resources Manager builds and publishes a roster and creates a draft payroll run (Agro: 3 staff, gross UGX 5,600,000, PAYE UGX 1,386,000, employee NSSF UGX 280,000, net UGX 3,734,000; PAYE for a UGX 2,800,000 salary computes to UGX 742,000, matching the band schedule); the Managing Director approves and pays it, posting a balanced journal entry (Dr 6,160,000 / Cr 6,160,000) and advancing the seeded salary advance to “recovering” (UGX 200,000 of UGX 600,000); a Sales Manager with no HR permission is refused (403); a duplicate run for the same month is refused (409); a second roster entry for the same employee and day is refused (409).</w:t>
      </w:r>
    </w:p>
    <w:p>
      <w:pPr>
        <w:pStyle w:val="Heading2"/>
      </w:pPr>
      <w:r>
        <w:t>Impact on this document</w:t>
      </w:r>
    </w:p>
    <w:p>
      <w:pPr>
        <w:pStyle w:val="BodyText"/>
      </w:pPr>
      <w:r>
        <w:t>Requirements: FR sets for Shift Scheduling (assign an employee to a shift for a day; one assignment per employee per day; publish a range and notify; per-day coverage and clash reporting) and Payroll (a monthly run over active salaried employees computing gross, PAYE, NSSF employee/employer and advance recovery; draft/approve/pay lifecycle; pay posts a balanced journal entry; salary advances requested, approved and recovered in instalments).</w:t>
      </w:r>
    </w:p>
    <w:p>
      <w:pPr>
        <w:pStyle w:val="Heading1"/>
      </w:pPr>
      <w:r>
        <w:t>56. Implementation Status Update 42 (28 August 2026) — My HR Self-Service Sections Activated</w:t>
      </w:r>
    </w:p>
    <w:p>
      <w:pPr>
        <w:pStyle w:val="BodyText"/>
      </w:pPr>
      <w:r>
        <w:t>The six MY HR placeholders from the navigation redesign — Clock In / Out, My Leave, My Shifts, My Performance, My Payslips and My Salary Advances — are now working self-service screens. Every one is scoped to the Employee record linked to the signed-in user; an account with no linked record sees a friendly notice on each screen.</w:t>
      </w:r>
    </w:p>
    <w:p>
      <w:pPr>
        <w:pStyle w:val="BodyText"/>
      </w:pPr>
      <w:r>
        <w:t>What was delivered:</w:t>
      </w:r>
    </w:p>
    <w:p>
      <w:pPr>
        <w:pStyle w:val="BodyText"/>
      </w:pPr>
      <w:r>
        <w:t>•  New read layer: a new module src/my-hr with GET /api/v1/my-hr/{summary,attendance,leave,shifts,performance,payslips,salary-advances}. Each resolves the caller's Employee via Employee.userId and returns only that person's data — attendance records and today's clock state, leave balances and requests, roster entries, performance reviews and objectives, paid payslips, and salary advances. No permission is required — these are “my own” reads.</w:t>
      </w:r>
    </w:p>
    <w:p>
      <w:pPr>
        <w:pStyle w:val="BodyText"/>
      </w:pPr>
      <w:r>
        <w:t>•  Self-service actions: Clock In / Out calls the existing POST /attendance/clock-in|clock-out (already un-gated and self-resolving); My Leave calls POST /leave/applications and .../cancel; My Performance calls POST /performance/reviews/{id}/self-assessment (which already checks the review belongs to the caller). Only “request a salary advance for myself” is new: POST /api/v1/my-hr/salary-advances creates a requested advance for the caller's employee (the staff endpoint needs payroll.manage), with a one-open-advance-at-a-time guard (409).</w:t>
      </w:r>
    </w:p>
    <w:p>
      <w:pPr>
        <w:pStyle w:val="BodyText"/>
      </w:pPr>
      <w:r>
        <w:t>•  Screens: src/pages/MyHr.jsx — six components. Clock In / Out: today's status, one-tap clock in / out, 30-day present / late / absent counts and a record history. My Leave: balance cards per type and a requests table with Apply and Cancel. My Shifts: the employee's roster (published and planned), today highlighted. My Performance: objectives, reviews, and a self-assessment dialog when one is pending. My Payslips: a payslip list and a breakdown dialog (gross, PAYE, NSSF, advance recovery, net). My Salary Advances: the employee's advances with outstanding balance, and a Request dialog.</w:t>
      </w:r>
    </w:p>
    <w:p>
      <w:pPr>
        <w:pStyle w:val="BodyText"/>
      </w:pPr>
      <w:r>
        <w:t>No schema change and no new permission — the module reads existing tables (attendance_records, leave_balances / leave_applications, roster_entries, performance_reviews / performance_objectives, payslips, salary_advances) and reuses the un-gated self-service actions the attendance, leave and performance modules already expose. The six routes were already marked always-visible in the front-end capability map; they are removed from STUB_ROUTES and the sidebar entries lose their “Soon” badge.</w:t>
      </w:r>
    </w:p>
    <w:p>
      <w:pPr>
        <w:pStyle w:val="BodyText"/>
      </w:pPr>
      <w:r>
        <w:t>Verified with the demo persona whose login is linked to an employee record: the summary returns the linked profile (name, department, company, shift, gross salary); clocking in updates today's state and the 30-day counts; leave balances and the approved / submitted requests display, and a new request can be submitted and cancelled; the roster shows this week's published and next week's planned shifts; the completed performance review and its rating display; requesting a salary advance succeeds and a second concurrent request is refused (409). An account with no linked employee record gets linked:false from the summary and a 404 from the detail endpoints, and each screen shows the “ask HR to link your account” notice.</w:t>
      </w:r>
    </w:p>
    <w:p>
      <w:pPr>
        <w:pStyle w:val="Heading2"/>
      </w:pPr>
      <w:r>
        <w:t>Impact on this document</w:t>
      </w:r>
    </w:p>
    <w:p>
      <w:pPr>
        <w:pStyle w:val="BodyText"/>
      </w:pPr>
      <w:r>
        <w:t>Requirements: FR set for employee self-service — a user linked to an employee record may view their own attendance, leave balances and requests, roster, performance reviews and objectives, payslips and salary advances; may clock in / out; may submit and cancel their own leave request; may submit their own self-assessment; and may request a salary advance (one open at a time). A user with no linked record is told to contact HR.</w:t>
      </w:r>
    </w:p>
    <w:p>
      <w:pPr>
        <w:pStyle w:val="Heading1"/>
      </w:pPr>
      <w:r>
        <w:t>57. Implementation Status Update 43 (28 August 2026) — Demo Staff Logins Linked to Employee Records</w:t>
      </w:r>
    </w:p>
    <w:p>
      <w:pPr>
        <w:pStyle w:val="BodyText"/>
      </w:pPr>
      <w:r>
        <w:t>The My HR self-service screens work only for a login that is linked to an employee record (Employee.userId). Until now only one demo persona (the Branch Manager) was linked, so every other demo login saw the “your account is not linked to an employee record” notice on those screens. All the seeded staff logins are now linked.</w:t>
      </w:r>
    </w:p>
    <w:p>
      <w:pPr>
        <w:pStyle w:val="BodyText"/>
      </w:pPr>
      <w:r>
        <w:t>What changed:</w:t>
      </w:r>
    </w:p>
    <w:p>
      <w:pPr>
        <w:pStyle w:val="BodyText"/>
      </w:pPr>
      <w:r>
        <w:t>•  Linked accounts: the Managing Director, IT Administrator and Auditor logins are linked to new employee records in Morise Holdings Limited; the Human Resources Manager, Finance Manager, Sales Manager and Procurement Manager logins to new records in Morise Agro Ltd. Each record has a job title, department, monthly gross salary and employment start date; the Agro records also have the Day Shift and a published roster for the current week. Every linked employee gets the 2026 leave-balance set (21 annual, 10 sick, 90 maternity, 4 paternity, 5 emergency).</w:t>
      </w:r>
    </w:p>
    <w:p>
      <w:pPr>
        <w:pStyle w:val="BodyText"/>
      </w:pPr>
      <w:r>
        <w:t>•  Effect: signed in as any seeded staff persona, the six My HR screens now show that person's own data — profile summary, attendance and clock state, leave balances, roster, performance reviews, payslips (once a run that includes them is paid) and salary advances — instead of the “not linked” notice. A login still genuinely unlinked (for example a future user created without an employee record) continues to see the notice.</w:t>
      </w:r>
    </w:p>
    <w:p>
      <w:pPr>
        <w:pStyle w:val="BodyText"/>
      </w:pPr>
      <w:r>
        <w:t>This is a seed-data change only — no schema, code or permission change. The linking mechanism already existed (the employee create/update API accepts a userId); the seed now uses it for the demo staff. Side effect: the HR Dashboard headcount and the Departments screen counts rise accordingly (Morise Holdings Limited now has three staffed departments, Morise Agro Ltd seven employees), and a payroll run for either company would include the newly-salaried staff. Verified: each seeded staff login returns linked:true from GET /api/v1/my-hr/summary with a full profile, and the My HR detail endpoints return that person's rows.</w:t>
      </w:r>
    </w:p>
    <w:p>
      <w:pPr>
        <w:pStyle w:val="Heading2"/>
      </w:pPr>
      <w:r>
        <w:t>Impact on this document</w:t>
      </w:r>
    </w:p>
    <w:p>
      <w:pPr>
        <w:pStyle w:val="BodyText"/>
      </w:pPr>
      <w:r>
        <w:t>Requirements unchanged. The rule remains: a user linked to an employee record gets self-service; an unlinked user is told to contact HR. This change links the demo staff.</w:t>
      </w:r>
    </w:p>
    <w:p>
      <w:pPr>
        <w:pStyle w:val="Heading1"/>
      </w:pPr>
      <w:r>
        <w:t>58. Implementation Status Update 44 (28 August 2026) — Financial &amp; Accounting Overview Activated</w:t>
      </w:r>
    </w:p>
    <w:p>
      <w:pPr>
        <w:pStyle w:val="BodyText"/>
      </w:pPr>
      <w:r>
        <w:t>The one remaining placeholder in the whole regrouped navigation — the Financial &amp; Accounting overview landing tile — is now a working read-only screen. With this every entry in the ADMIN / BACKEND, HUMAN RESOURCES, MY HR and FINANCIAL &amp; ACCOUNTING categories opens a working screen.</w:t>
      </w:r>
    </w:p>
    <w:p>
      <w:pPr>
        <w:pStyle w:val="BodyText"/>
      </w:pPr>
      <w:r>
        <w:t>What was delivered:</w:t>
      </w:r>
    </w:p>
    <w:p>
      <w:pPr>
        <w:pStyle w:val="BodyText"/>
      </w:pPr>
      <w:r>
        <w:t>•  Overview endpoint: a new module src/finance with GET /api/v1/finance/overview. It returns three parts. (1) The consolidated group financial position — total assets, liabilities and equity, cash position and bank balances, outstanding receivables and payables, and open-period revenue, expense and net profit, group-wide and per company — reusing the computation the dashboard already performs. (2) “Needs attention” working-capital figures — accounts-payable outstanding amount and count (with overdue and pending-approval counts), accounts-receivable outstanding amount and count (with overdue), expense claims awaiting finance approval, active-asset net book value and disposal requests, and active / on-hold / planned project counts. (3) Period-close status — each company's current financial period with its dates and open/closed state, and the group totals of open and closed periods.</w:t>
      </w:r>
    </w:p>
    <w:p>
      <w:pPr>
        <w:pStyle w:val="BodyText"/>
      </w:pPr>
      <w:r>
        <w:t>•  Screen: src/pages/Finance.jsx — KPI tiles for the group position, a by-company table, a “Needs attention” tile row, a period-close table, and a grid of shortcut cards into the working finance sub-screens (General Ledger &amp; Journals, Accounts Payable, Expenses, Assets, Projects, Reports, Suppliers, Inter-Company). It replaces the &lt;ComingSoon&gt; stub for /finance in App.jsx; the sidebar entry loses its “Soon” badge and STUB_ROUTES is now empty.</w:t>
      </w:r>
    </w:p>
    <w:p>
      <w:pPr>
        <w:pStyle w:val="BodyText"/>
      </w:pPr>
      <w:r>
        <w:t>•  Access: read-only, no new permission. The endpoint is gated on any one of the finance-area permissions — the same list the front-end capability map already uses for the /finance route (accounting / ap / expense / asset / project / supplier / inter-company, in their manage / approve / viewAll forms). A user with none of them is refused (403).</w:t>
      </w:r>
    </w:p>
    <w:p>
      <w:pPr>
        <w:pStyle w:val="BodyText"/>
      </w:pPr>
      <w:r>
        <w:t>No schema change. The DashboardModule now exports its service so the finance overview can reuse the balance-sheet and income computation; everything else is a straightforward aggregation over supplier invoices, customer invoices, expenses, assets, projects and financial periods. Verified: as a Finance Manager the overview returns the consolidated position (group net profit UGX 19,833,800 across five companies), the working-capital figures (AP UGX 500,000 outstanding, AR UGX 15,301,200 with 3 overdue, one expense claim awaiting finance, asset net book value UGX 45,000,000, one active project) and the two open FY2026-Q1 periods; a Sales Manager with no finance permission is refused (403).</w:t>
      </w:r>
    </w:p>
    <w:p>
      <w:pPr>
        <w:pStyle w:val="Heading2"/>
      </w:pPr>
      <w:r>
        <w:t>Impact on this document</w:t>
      </w:r>
    </w:p>
    <w:p>
      <w:pPr>
        <w:pStyle w:val="BodyText"/>
      </w:pPr>
      <w:r>
        <w:t>Requirements: FR for the finance overview — present the consolidated and per-company financial position; the outstanding-payables, outstanding-receivables, expense-awaiting-finance, asset-net-book-value and active-project figures; and each company's current period and the group's open/closed period counts. Read-only, gated on any finance-area permission.</w:t>
      </w:r>
    </w:p>
    <w:p>
      <w:pPr>
        <w:pStyle w:val="Heading1"/>
      </w:pPr>
      <w:r>
        <w:t>59. Implementation Status Update 45 (29 August 2026) — Customer Sign-Up, Multi-Identifier Login &amp; Password Reset</w:t>
      </w:r>
    </w:p>
    <w:p>
      <w:pPr>
        <w:pStyle w:val="BodyText"/>
      </w:pPr>
      <w:r>
        <w:t>The Customer Storefront login previously accepted only a staff-issued email or account number and had no self-registration and no password reset. Customers can now sign themselves up, sign in with an email, phone number or account number (or with Google), and reset a forgotten password.</w:t>
      </w:r>
    </w:p>
    <w:p>
      <w:pPr>
        <w:pStyle w:val="BodyText"/>
      </w:pPr>
      <w:r>
        <w:t>What was delivered:</w:t>
      </w:r>
    </w:p>
    <w:p>
      <w:pPr>
        <w:pStyle w:val="BodyText"/>
      </w:pPr>
      <w:r>
        <w:t>•  Sign up: POST /api/v1/customer-portal/auth/register (name, email, optional phone, password, and which Morise company to buy from — listed by the public GET /customer-portal/auth/companies). It creates an active customer with a generated account number and starter terms (a small credit limit and 14-day payment terms, for staff to review in the CRM) and signs the customer straight in. A second account for the same email or phone is refused (409).</w:t>
      </w:r>
    </w:p>
    <w:p>
      <w:pPr>
        <w:pStyle w:val="BodyText"/>
      </w:pPr>
      <w:r>
        <w:t>•  Login by email, phone or account number: the single identifier field now matches a customer's email, account number OR phone. The phone match ignores formatting and country-code style, so “+256 701 234 567”, “0701234567” and “701234567” all resolve to the same account. The 5-attempt lockout is unchanged.</w:t>
      </w:r>
    </w:p>
    <w:p>
      <w:pPr>
        <w:pStyle w:val="BodyText"/>
      </w:pPr>
      <w:r>
        <w:t>•  Sign in with Google: POST /api/v1/customer-portal/auth/google. In production the request carries a verified Google ID token; this offline build trusts the email the “Continue with Google” button sends (a documented seam, like the deferred payment gateway and in-app-only notifications). A known email is signed in passwordlessly; an unknown email auto-registers a Google-linked account.</w:t>
      </w:r>
    </w:p>
    <w:p>
      <w:pPr>
        <w:pStyle w:val="BodyText"/>
      </w:pPr>
      <w:r>
        <w:t>•  Forgot / reset password: POST /customer-portal/auth/forgot-password (by email, phone or account number) issues a one-time token stored hashed with a 30-minute expiry; POST /customer-portal/auth/reset-password consumes it, sets the new password, clears any lockout and revokes every active session. With no SMTP/SMS in this build the plain token is returned in the response in dev so the flow completes end to end; a real deployment e-mails / SMSes a link instead. The forgot-password response is identical whether or not an account matched, so it never reveals which identifiers are registered.</w:t>
      </w:r>
    </w:p>
    <w:p>
      <w:pPr>
        <w:pStyle w:val="BodyText"/>
      </w:pPr>
      <w:r>
        <w:t>Backend: src/customer-portal/auth gains the four endpoints plus the companies list on the existing CustomerAuthController /Service; a new customer_password_reset_tokens table and two Customer columns (self_registered, google_linked) via migration 20260829090000_customer_self_service_auth. Every new endpoint is rate-limited. Storefront: new pages /register, /forgot-password and /reset-password, a “Continue with Google” component, and the login screen updated with the new identifier label, a “Forgot your password?” link and a “Create an account” link; the auth strings are added to the eight fully-translated languages.</w:t>
      </w:r>
    </w:p>
    <w:p>
      <w:pPr>
        <w:pStyle w:val="BodyText"/>
      </w:pPr>
      <w:r>
        <w:t>Verified end to end: a new customer registers and is signed in with a generated account number; the same customer then signs in with the email, with the phone in three different formats, and with the account number; a duplicate registration is refused (409); Google sign-in logs an existing customer in and auto-registers a new one; a reset token issued by forgot-password lets the customer set a new password, after which the old password is rejected and the token cannot be reused (401); forgot-password for an unknown identifier still returns 200 with no token.</w:t>
      </w:r>
    </w:p>
    <w:p>
      <w:pPr>
        <w:pStyle w:val="Heading2"/>
      </w:pPr>
      <w:r>
        <w:t>Impact on this document</w:t>
      </w:r>
    </w:p>
    <w:p>
      <w:pPr>
        <w:pStyle w:val="BodyText"/>
      </w:pPr>
      <w:r>
        <w:t>Requirements: FR set for customer auth — self-registration (name, email, optional phone, password, seller company); sign-in by email, account number or phone; sign-in with Google; forgot-password issuing a one-time, time-limited token; reset-password consuming it, clearing lockout and revoking sessions; a uniform forgot-password response that does not disclose which accounts exist.</w:t>
      </w:r>
    </w:p>
    <w:p>
      <w:pPr>
        <w:pStyle w:val="Heading1"/>
      </w:pPr>
      <w:r>
        <w:t>60. Implementation Status Update 46 (29 August 2026) — One Storefront Across Every Subsidiary and Its Branches</w:t>
      </w:r>
    </w:p>
    <w:p>
      <w:pPr>
        <w:pStyle w:val="BodyText"/>
      </w:pPr>
      <w:r>
        <w:t>The Customer Storefront previously showed only the products of the one Morise company on the customer's account. It now shows the priced, active products and services of every subsidiary in the holding group, each listing tagged with the subsidiary that sells it and the branch that produces or fulfils it, and the customer's own screens always show which subsidiary and branch their account belongs to.</w:t>
      </w:r>
    </w:p>
    <w:p>
      <w:pPr>
        <w:pStyle w:val="BodyText"/>
      </w:pPr>
      <w:r>
        <w:t>What was delivered:</w:t>
      </w:r>
    </w:p>
    <w:p>
      <w:pPr>
        <w:pStyle w:val="BodyText"/>
      </w:pPr>
      <w:r>
        <w:t>•  Group catalogue: GET /api/v1/customer-portal/catalog/products now resolves the customer's holding group (the root holding company plus every active subsidiary) and lists all of their priced, active products, each carrying companyId / companyName and branchId / branchName / branchAddress. New companyId and branchId query filters; GET /customer-portal/catalog/categories spans the group; a new GET /customer-portal/catalog/subsidiaries returns the holding company plus each subsidiary with its branch list and its branch and product counts.</w:t>
      </w:r>
    </w:p>
    <w:p>
      <w:pPr>
        <w:pStyle w:val="BodyText"/>
      </w:pPr>
      <w:r>
        <w:t>•  Branch attribution: a nullable branch_id on products (the branch that produces / stocks / fulfils the item) and a nullable home_branch_id on customers (the branch of the customer's own subsidiary that serves the account), plus a real orders.company_id → companies foreign key, via migration 20260829120000_storefront_group_catalog_branch_attribution. Sign-up gains an optional home-branch picker backed by a public GET /customer-portal/auth/branches?companyId=.</w:t>
      </w:r>
    </w:p>
    <w:p>
      <w:pPr>
        <w:pStyle w:val="BodyText"/>
      </w:pPr>
      <w:r>
        <w:t>•  “Which subsidiary and branch is mine”: GET /customer-portal/me and the login / refresh token response now return companyId / companyName, homeBranchId / homeBranchName / homeBranchAddress and the holding company name; the storefront shows them in the header, on My Account and against every product.</w:t>
      </w:r>
    </w:p>
    <w:p>
      <w:pPr>
        <w:pStyle w:val="BodyText"/>
      </w:pPr>
      <w:r>
        <w:t>•  Checkout across subsidiaries: an order — with its invoice and balanced GL posting — belongs to the selling subsidiary, so a basket is placed as one order per subsidiary. The storefront groups the cart by selling company and posts each group in turn; the API rejects a single order that mixes companies (409). A discount code, which belongs to one subsidiary, is offered only on a single-company cart. The customer's credit limit stays one account-wide facility, checked across every subsidiary's invoices.</w:t>
      </w:r>
    </w:p>
    <w:p>
      <w:pPr>
        <w:pStyle w:val="BodyText"/>
      </w:pPr>
      <w:r>
        <w:t>•  Storefront: the Shop page gains company and branch filters and a per-card “company · branch” tag; a new Subsidiaries directory page lists every company in the group with its branches and counts; the cart is sectioned by fulfilling subsidiary with per-company subtotals and a “placed as N separate orders” note; My Account shows “you buy through &lt;subsidiary&gt; · &lt;branch&gt;, part of &lt;holding&gt;”; the new strings are added to the eight fully-translated languages.</w:t>
      </w:r>
    </w:p>
    <w:p>
      <w:pPr>
        <w:pStyle w:val="BodyText"/>
      </w:pPr>
      <w:r>
        <w:t>•  Seed: Morise Agro Ltd's eight products are attributed to its Kira HQ and Mbale branches, and Morise Logistics Ltd is given a four-item priced service catalogue (road freight Kampala–Mombasa and Kampala–Kigali, last-mile delivery, pallet storage) on its Jinja branch, so the group shop is genuinely multi-company; the demo portal customers are given a home branch.</w:t>
      </w:r>
    </w:p>
    <w:p>
      <w:pPr>
        <w:pStyle w:val="BodyText"/>
      </w:pPr>
      <w:r>
        <w:t>Verified end to end: signed in as the Highland Traders Ltd portal account (a Morise Agro customer), the shop lists all twelve products across Morise Agro Ltd and Morise Logistics Ltd, each tagged with its company and branch; the subsidiaries endpoint lists all four subsidiaries with branch and product counts; the company and branch filters narrow the list; GET /me returns the subsidiary, home branch and holding company. A cart mixing Agro and Logistics items is refused (409); a Logistics-only order places ORD-2026-0001 in Morise Logistics Ltd's books, with INV-2026-0001 and a posted sale journal entry (JE-2026-0005) in that company. Backend tsc and both front-end builds are clean.</w:t>
      </w:r>
    </w:p>
    <w:p>
      <w:pPr>
        <w:pStyle w:val="Heading2"/>
      </w:pPr>
      <w:r>
        <w:t>Impact on this document</w:t>
      </w:r>
    </w:p>
    <w:p>
      <w:pPr>
        <w:pStyle w:val="BodyText"/>
      </w:pPr>
      <w:r>
        <w:t>Requirements — new FRs: the storefront catalogue spans the customer's whole holding group; every listing carries its selling subsidiary and fulfilling branch; a subsidiary-directory endpoint; a customer can see their own subsidiary, branch and holding company; a basket is placed as one order per subsidiary and a mixed single order is rejected; discount codes apply to single-subsidiary carts only.</w:t>
      </w:r>
    </w:p>
    <w:p>
      <w:pPr>
        <w:pStyle w:val="Heading1"/>
      </w:pPr>
      <w:r>
        <w:t>61. Implementation Status Update 47 (29 August 2026) — Clearing / Forwarding and Warehouse-Management Catalogues Added to the Group Storefront</w:t>
      </w:r>
    </w:p>
    <w:p>
      <w:pPr>
        <w:pStyle w:val="BodyText"/>
      </w:pPr>
      <w:r>
        <w:t>Update 46 made the Customer Storefront a group shop but only two subsidiaries had a priced catalogue (Morise Agro Ltd and Morise Logistics Ltd). The remaining two subsidiaries — Morise Clearing &amp; Forwarding Ltd and Morise Warehouse Management Ltd — now also sell in the storefront, so a customer sees the goods and services of all four Morise subsidiaries in one shop.</w:t>
      </w:r>
    </w:p>
    <w:p>
      <w:pPr>
        <w:pStyle w:val="BodyText"/>
      </w:pPr>
      <w:r>
        <w:t>What was delivered (seed data only — no code or schema change; the group-catalogue engine from Update 46 already supports any number of selling subsidiaries):</w:t>
      </w:r>
    </w:p>
    <w:p>
      <w:pPr>
        <w:pStyle w:val="BodyText"/>
      </w:pPr>
      <w:r>
        <w:t>•  Morise Clearing &amp; Forwarding Ltd — six priced services on its Kampala HQ, Entebbe Airport, Malaba and Busia branches: import customs clearance (per entry), air import clearance at Entebbe (per AWB), ocean freight forwarding Mombasa–Kampala (per 20ft container), air freight consolidation (per kg), transit bond &amp; T1 documentation on the Malaba corridor (per consignment), and Certificate of Origin &amp; export-permit handling (per set). Categories: Customs Clearance, Freight Forwarding, Transit &amp; Documentation.</w:t>
      </w:r>
    </w:p>
    <w:p>
      <w:pPr>
        <w:pStyle w:val="BodyText"/>
      </w:pPr>
      <w:r>
        <w:t>•  Morise Warehouse Management Ltd — six priced services on its Kampala Central, Jinja and Mbarara warehouses: ambient pallet storage, chilled cold storage and bonded storage (all per pallet-month), inbound handling &amp; putaway (per pallet), pick / pack / dispatch (per order line), and cycle count &amp; inventory reconciliation (per visit). Categories: Storage, Handling &amp; Fulfilment, Value-Added Services.</w:t>
      </w:r>
    </w:p>
    <w:p>
      <w:pPr>
        <w:pStyle w:val="BodyText"/>
      </w:pPr>
      <w:r>
        <w:t>•  Each of the two companies is given a minimal chart of accounts (Cash and Bank, Accounts Receivable, Accounts Payable, Retained Earnings, Service Revenue, Cost of Services) and an open FY2026-Q1 financial period, so an order placed through the storefront is invoiced and GL-posted in that subsidiary's own books, exactly as for Morise Agro Ltd and Morise Logistics Ltd. Their full Clearing/Forwarding and Warehouse Management systems (documents 19 and 20) remain unbuilt — this is the storefront-facing service list only.</w:t>
      </w:r>
    </w:p>
    <w:p>
      <w:pPr>
        <w:pStyle w:val="BodyText"/>
      </w:pPr>
      <w:r>
        <w:t>Verified end to end: signed in as the Highland Traders Ltd portal account, the shop now lists twenty-four products across all four subsidiaries (Agro 8, Clearing &amp; Forwarding 6, Warehouse Management 6, Logistics 4); the Subsidiaries directory shows every company with a non-zero product count and an enabled “Shop” button; an order placed for a Warehouse Management service creates ORD-2026-0001, INV-2026-0001 and a posted sale journal entry in Morise Warehouse Management Ltd's books, and the same for a Clearing &amp; Forwarding order in that company's books.</w:t>
      </w:r>
    </w:p>
    <w:p>
      <w:pPr>
        <w:pStyle w:val="Heading2"/>
      </w:pPr>
      <w:r>
        <w:t>Impact on this document</w:t>
      </w:r>
    </w:p>
    <w:p>
      <w:pPr>
        <w:pStyle w:val="BodyText"/>
      </w:pPr>
      <w:r>
        <w:t>Requirements — no new FRs; confirms the Update 46 requirement that the catalogue spans every subsidiary in the holding group, now exercised with all four.</w:t>
      </w:r>
    </w:p>
    <w:p>
      <w:pPr>
        <w:pStyle w:val="Heading1"/>
      </w:pPr>
      <w:r>
        <w:t>62. Implementation Status Update 48 (29 August 2026) — Content Localisation Extended to the Group Storefront — Read in the Chosen Language, Store Customer Input in English</w:t>
      </w:r>
    </w:p>
    <w:p>
      <w:pPr>
        <w:pStyle w:val="BodyText"/>
      </w:pPr>
      <w:r>
        <w:t>The "read database text in the customer's language, store the customer's input in English" behaviour first delivered on 27 August 2026 (and extended to promo banners and CMS content on 28 August) now also covers the storefront paths added by the group-catalogue work (sign-up, the group catalogue, the subsidiary directory and My Account). A customer sees the database in the language they chose; an administrator always reads English in the database.</w:t>
      </w:r>
    </w:p>
    <w:p>
      <w:pPr>
        <w:pStyle w:val="BodyText"/>
      </w:pPr>
      <w:r>
        <w:t>Read — shown in the chosen language:</w:t>
      </w:r>
    </w:p>
    <w:p>
      <w:pPr>
        <w:pStyle w:val="BodyText"/>
      </w:pPr>
      <w:r>
        <w:t>•  Every product listing's subsidiary, branch and branch-address tag, the group category list, and the whole Subsidiaries directory (each company name, its branch names and addresses) are now rendered in the customer's language through the same curated glossary the catalogue and support screens use — as far as the glossary reaches; company and place proper nouns largely pass through, while words like "Warehouse", "Forwarding", "Border", "Office", "Freight", "Storage", "Delivery" translate.</w:t>
      </w:r>
    </w:p>
    <w:p>
      <w:pPr>
        <w:pStyle w:val="BodyText"/>
      </w:pPr>
      <w:r>
        <w:t>•  GET /customer-portal/me returns the customer's own business name and address, and the subsidiary / branch / holding-company names, in the chosen language; when the customer is browsing in the language they typed their name or address in, their own exact wording is shown back instead of the glossary-translated English.</w:t>
      </w:r>
    </w:p>
    <w:p>
      <w:pPr>
        <w:pStyle w:val="BodyText"/>
      </w:pPr>
      <w:r>
        <w:t>•  The glossary gained the group-catalogue vocabulary: the eight new service categories (Freight Services, Warehousing Services, Customs Clearance, Freight Forwarding, Transit &amp; Documentation, Storage, Handling &amp; Fulfilment, Value-Added Services) and about thirty recurring service-name tokens (freight, forwarding, customs, clearance, transit, storage, handling, ocean, air, road, delivery, border, bonded, cold, ambient, inbound, dispatch, container, consolidation, cycle count, pick, pack, …), each in the eight fully-translated languages.</w:t>
      </w:r>
    </w:p>
    <w:p>
      <w:pPr>
        <w:pStyle w:val="BodyText"/>
      </w:pPr>
      <w:r>
        <w:t>Write — stored in English only:</w:t>
      </w:r>
    </w:p>
    <w:p>
      <w:pPr>
        <w:pStyle w:val="BodyText"/>
      </w:pPr>
      <w:r>
        <w:t>•  At sign-up the business name and phone number are normalised before storage: the name is mapped to English through the glossary (free-form remainder left to the translation-provider seam, a no-op until a real machine-translation service is configured) and any non-Western numerals a customer typed (for example Arabic-Indic digits in a phone number) are converted to 0-9. On My Account the same is done for the address and phone. The row keeps the source language and the customer's exact original wording (customers.source_language, customers.name_original, customers.address_original — migration 20260829150000_customer_content_originals) so the storefront can show the customer their own words and an administrator still reads the English columns, exactly as delivery addresses and support tickets already work.</w:t>
      </w:r>
    </w:p>
    <w:p>
      <w:pPr>
        <w:pStyle w:val="BodyText"/>
      </w:pPr>
      <w:r>
        <w:t>Verified: signed in as a customer browsing in Swahili, the shop shows "Huduma za Usafirishaji" for Freight Services and "Jinja Tawi" for Jinja Branch, and the Subsidiaries directory names read in Swahili; registering with an Arabic business name and an Arabic-Indic phone number stores "warehouse …" and "+256 701 234 555" in the database with source_language = ar and the original Arabic kept, GET /me returns the original Arabic to that customer and the English column to an English (admin) reader; editing the address in Swahili stores the English form with the Swahili original kept. Backend tsc clean.</w:t>
      </w:r>
    </w:p>
    <w:p>
      <w:pPr>
        <w:pStyle w:val="Heading2"/>
      </w:pPr>
      <w:r>
        <w:t>Impact on this document</w:t>
      </w:r>
    </w:p>
    <w:p>
      <w:pPr>
        <w:pStyle w:val="BodyText"/>
      </w:pPr>
      <w:r>
        <w:t>Requirements — the content-localisation FRs (read in language, store in English, uniform canonical numerals) are restated to apply to sign-up, the group catalogue, the subsidiary directory and My Account.</w:t>
      </w:r>
    </w:p>
    <w:p>
      <w:pPr>
        <w:pStyle w:val="Heading1"/>
      </w:pPr>
      <w:r>
        <w:t>63. Implementation Status Update 49 (29 August 2026) — OpenAPI / Swagger API Documentation for the Phase 1 Backend</w:t>
      </w:r>
    </w:p>
    <w:p>
      <w:pPr>
        <w:pStyle w:val="BodyText"/>
      </w:pPr>
      <w:r>
        <w:t>09_API Specification, Section 1 described this deliverable as "a build-ready specification, not a finished OpenAPI/Swagger contract" and left the machine-readable contract to the engaged development team. That contract now exists and is generated from the running backend code.</w:t>
      </w:r>
    </w:p>
    <w:p>
      <w:pPr>
        <w:pStyle w:val="BodyText"/>
      </w:pPr>
      <w:r>
        <w:t>What was delivered (backend only — no database change, and no change to any endpoint's behaviour, request shape or response envelope):</w:t>
      </w:r>
    </w:p>
    <w:p>
      <w:pPr>
        <w:pStyle w:val="BodyText"/>
      </w:pPr>
      <w:r>
        <w:t>•  @nestjs/swagger is wired into the NestJS / Fastify backend in src/main.ts, with its CLI plugin enabled in nest-cli.json so request and response schemas are derived automatically from the existing class-validator DTOs. At the time of writing the document covers 245 paths, 309 operations and 116 component schemas.</w:t>
      </w:r>
    </w:p>
    <w:p>
      <w:pPr>
        <w:pStyle w:val="BodyText"/>
      </w:pPr>
      <w:r>
        <w:t>•  Interactive documentation (Swagger UI) is served at GET /api/v1/docs and the raw OpenAPI 3 document at GET /api/v1/docs-json, on the same port as the API (3001 in development). Two bearer security schemes — staff and customer — mirror the two JWT audiences already defined in .env (JWT_ACCESS_SECRET and JWT_CUSTOMER_ACCESS_SECRET); the UI’s Authorize state persists across reloads.</w:t>
      </w:r>
    </w:p>
    <w:p>
      <w:pPr>
        <w:pStyle w:val="BodyText"/>
      </w:pPr>
      <w:r>
        <w:t>•  A snapshot of the document is committed at backend/openapi.json and is refreshed with a new npm script, npm run openapi:generate, which reads /api/v1/docs-json from a running instance. Two dependencies were added: @nestjs/swagger and @fastify/static (the Fastify adapter serves the UI’s static assets through the latter).</w:t>
      </w:r>
    </w:p>
    <w:p>
      <w:pPr>
        <w:pStyle w:val="BodyText"/>
      </w:pPr>
      <w:r>
        <w:t>•  Build note: the @nestjs/swagger CLI plugin runs only through nest build / nest start, not a bare tsc invocation, so the backend is now built with npm run build. In this environment tsconfig.tsbuildinfo must be deleted first or the incremental compiler skips re-emitting.</w:t>
      </w:r>
    </w:p>
    <w:p>
      <w:pPr>
        <w:pStyle w:val="BodyText"/>
      </w:pPr>
      <w:r>
        <w:t>Verified end to end: after npm run build and a restart, GET /api/v1/docs returns the Swagger UI (HTTP 200) and GET /api/v1/docs-json returns a valid OpenAPI 3 document (200); POST /api/v1/identity/auth/login was executed from the UI without a token, and the staff access token it returned authorised a follow-up call to a guarded endpoint.</w:t>
      </w:r>
    </w:p>
    <w:p>
      <w:pPr>
        <w:pStyle w:val="Heading2"/>
      </w:pPr>
      <w:r>
        <w:t>Impact on this document</w:t>
      </w:r>
    </w:p>
    <w:p>
      <w:pPr>
        <w:pStyle w:val="BodyText"/>
      </w:pPr>
      <w:r>
        <w:t>Requirements — satisfies the implied “the API shall be documented” non-functional requirement; the OpenAPI 3 document at /api/v1/docs-json is now the authoritative machine-readable statement of the endpoints this document specifies.</w:t>
      </w:r>
    </w:p>
    <w:p>
      <w:pPr>
        <w:pStyle w:val="Heading1"/>
      </w:pPr>
      <w:r>
        <w:t>64. Implementation Status Update 50 (29 August 2026) — Corporate Landing Page &amp; Public Holding-Company Mini-Site</w:t>
      </w:r>
    </w:p>
    <w:p>
      <w:pPr>
        <w:pStyle w:val="BodyText"/>
      </w:pPr>
      <w:r>
        <w:t>The Customer Storefront’s pre-login landing page has been redesigned as the public, holding-company face of Morise Holdings, following the reference mockups in screenshots/files(13)/. It is no longer a single marketing page but a small public site rendered before any sign-in.</w:t>
      </w:r>
    </w:p>
    <w:p>
      <w:pPr>
        <w:pStyle w:val="BodyText"/>
      </w:pPr>
      <w:r>
        <w:t>What was delivered:</w:t>
      </w:r>
    </w:p>
    <w:p>
      <w:pPr>
        <w:pStyle w:val="BodyText"/>
      </w:pPr>
      <w:r>
        <w:t>•  A "paper &amp; bronze" visual system (Fraunces display + Inter text + IBM Plex Mono figures) in a new storefront stylesheet (styles/corporate.css), with a shared utility bar / main navigation / footer and the demonstration disclaimer (components/CorporateLayout.jsx).</w:t>
      </w:r>
    </w:p>
    <w:p>
      <w:pPr>
        <w:pStyle w:val="BodyText"/>
      </w:pPr>
      <w:r>
        <w:t>•  Seven public routes, none behind authentication: the landing page (/), Companies directory (/companies), a per-company page (/companies/:id), Profile (/profile), Group Leadership (/governance/board), Group Overview (/investors/overview), News (/investors/news) and Contacts (/contacts).</w:t>
      </w:r>
    </w:p>
    <w:p>
      <w:pPr>
        <w:pStyle w:val="BodyText"/>
      </w:pPr>
      <w:r>
        <w:t>•  One new backend endpoint — GET /api/v1/customer-portal/public/overview — PUBLIC (no customer token), returning only already-public facts: the holding company, its active subsidiaries with branches and ownership, and roll-up group figures (subsidiaries, branches, catalogue items, categories). It honours Accept-Language like the rest of the storefront. No database or schema change; it reuses the existing group-catalogue resolution, generalised to take no customer.</w:t>
      </w:r>
    </w:p>
    <w:p>
      <w:pPr>
        <w:pStyle w:val="BodyText"/>
      </w:pPr>
      <w:r>
        <w:t>•  The Companies grid, per-company pages and Group Overview table are populated live from that endpoint (four wholly-owned subsidiaries, 14 branches, 24 catalogue items at the time of writing); sector labels and one-line descriptions are presentation-only, keyed by subsidiary name with a generic fallback. Group leadership and news items are clearly labelled illustrative demo data.</w:t>
      </w:r>
    </w:p>
    <w:p>
      <w:pPr>
        <w:pStyle w:val="BodyText"/>
      </w:pPr>
      <w:r>
        <w:t>•  A signed-in customer is unaffected: "/" still shows their dashboard; the storefront, catalogue and account screens are unchanged.</w:t>
      </w:r>
    </w:p>
    <w:p>
      <w:pPr>
        <w:pStyle w:val="BodyText"/>
      </w:pPr>
      <w:r>
        <w:t>Verified end to end: signed out, "/" renders the holding-company landing with live group figures; every public route loads without a token; GET /customer-portal/public/overview returns HTTP 200 with the group shape; the storefront production build passes; signing in still lands on the customer dashboard.</w:t>
      </w:r>
    </w:p>
    <w:p>
      <w:pPr>
        <w:pStyle w:val="Heading2"/>
      </w:pPr>
      <w:r>
        <w:t>Impact on this document</w:t>
      </w:r>
    </w:p>
    <w:p>
      <w:pPr>
        <w:pStyle w:val="BodyText"/>
      </w:pPr>
      <w:r>
        <w:t>Requirements — adds public (unauthenticated) requirements: a holding-company landing page and directory pages readable without an account, served by GET /customer-portal/public/overview. The customer-portal functional requirements are otherwise unchanged.</w:t>
      </w:r>
    </w:p>
    <w:p>
      <w:pPr>
        <w:pStyle w:val="Heading1"/>
      </w:pPr>
      <w:r>
        <w:t>65. Implementation Status Update 51 (29 August 2026) — Corporate Landing Page Restyled to the Storefront Design System</w:t>
      </w:r>
    </w:p>
    <w:p>
      <w:pPr>
        <w:pStyle w:val="BodyText"/>
      </w:pPr>
      <w:r>
        <w:t>The public corporate mini-site added in Update 50 (landing page, Companies directory + per-company pages, Profile, Group Leadership, Group Overview, News, Contacts) has been restyled so it looks like the rest of the Customer Storefront. This is a presentation-only change.</w:t>
      </w:r>
    </w:p>
    <w:p>
      <w:pPr>
        <w:pStyle w:val="BodyText"/>
      </w:pPr>
      <w:r>
        <w:t>What changed:</w:t>
      </w:r>
    </w:p>
    <w:p>
      <w:pPr>
        <w:pStyle w:val="BodyText"/>
      </w:pPr>
      <w:r>
        <w:t>•  The corporate pages now use the SAME visual system as the shop page (mbms/storefront/src/styles/storefront.css): the system-font stack (-apple-system / Segoe UI / Roboto …), the navy (#1E3A5F) / blue (#2E5395) / amber (#D97706) palette, the #F2F5FA page background, white cards with a 10px radius and a hairline #E2E8F0 border, and the .sf-btn-style buttons and font sizes (24px page-head H1, ~20px section headings, 14px body).</w:t>
      </w:r>
    </w:p>
    <w:p>
      <w:pPr>
        <w:pStyle w:val="BodyText"/>
      </w:pPr>
      <w:r>
        <w:t>•  The earlier “paper &amp; bronze” treatment — the imported Fraunces / IBM Plex Mono web fonts, the cream #F2F0EA background and the serif headings from screenshots/files(13)/ — has been dropped. The web-font @import is removed, so the corporate pages now load no external fonts.</w:t>
      </w:r>
    </w:p>
    <w:p>
      <w:pPr>
        <w:pStyle w:val="BodyText"/>
      </w:pPr>
      <w:r>
        <w:t>•  Only mbms/storefront/src/styles/corporate.css changed. The page structure, routes, component files and the GET /api/v1/customer-portal/public/overview endpoint from Update 50 are untouched; the mc-* class names are unchanged. No backend, API, schema or data change.</w:t>
      </w:r>
    </w:p>
    <w:p>
      <w:pPr>
        <w:pStyle w:val="BodyText"/>
      </w:pPr>
      <w:r>
        <w:t>Verified: the storefront production build passes; signed out, the landing page and the six inner corporate pages render in the storefront’s navy / white / amber styling and sit visually alongside /shop; a signed-in customer still lands on the dashboard.</w:t>
      </w:r>
    </w:p>
    <w:p>
      <w:pPr>
        <w:pStyle w:val="Heading2"/>
      </w:pPr>
      <w:r>
        <w:t>Impact on this document</w:t>
      </w:r>
    </w:p>
    <w:p>
      <w:pPr>
        <w:pStyle w:val="BodyText"/>
      </w:pPr>
      <w:r>
        <w:t>Requirements — no material impact — this update only changes the CSS of the public corporate pages (fonts, colours, radii) to match the storefront. No requirement, interface, data, process or plan item changes.</w:t>
      </w:r>
    </w:p>
    <w:p>
      <w:pPr>
        <w:pStyle w:val="Heading1"/>
      </w:pPr>
      <w:r>
        <w:t>66. Implementation Status Update 52 (29 August 2026) — Public Content Pages Folded Into the Corporate Site Chrome</w:t>
      </w:r>
    </w:p>
    <w:p>
      <w:pPr>
        <w:pStyle w:val="BodyText"/>
      </w:pPr>
      <w:r>
        <w:t>The public CMS content pages at /page/:slug (About, Terms, Delivery — linked from the corporate site’s utility bar and footer) now render inside the same shell and styling as the rest of the pre-login corporate mini-site (landing, Companies, Group Overview, News, Contacts). Presentation-only.</w:t>
      </w:r>
    </w:p>
    <w:p>
      <w:pPr>
        <w:pStyle w:val="BodyText"/>
      </w:pPr>
      <w:r>
        <w:t>What changed:</w:t>
      </w:r>
    </w:p>
    <w:p>
      <w:pPr>
        <w:pStyle w:val="BodyText"/>
      </w:pPr>
      <w:r>
        <w:t>•  ContentPage (mbms/storefront/src/pages/Page.jsx) now wraps its body in &lt;CorporateLayout&gt; — the shared utility bar, main navigation, footer and demonstration disclaimer — and uses the mc-* classes and the storefront design system (system fonts; navy / white / amber). It previously used a stripped-down header of its own and the earlier landing-page styling.</w:t>
      </w:r>
    </w:p>
    <w:p>
      <w:pPr>
        <w:pStyle w:val="BodyText"/>
      </w:pPr>
      <w:r>
        <w:t>•  One small block of card / article styles was added to mbms/storefront/src/styles/corporate.css (.mc-article). No other file changed.</w:t>
      </w:r>
    </w:p>
    <w:p>
      <w:pPr>
        <w:pStyle w:val="BodyText"/>
      </w:pPr>
      <w:r>
        <w:t>•  No change to the content itself, to the CMS admin screen, or to the endpoint that serves it (GET /api/v1/customer-portal/content/:slug — still public, unchanged). No backend, API, schema or data change.</w:t>
      </w:r>
    </w:p>
    <w:p>
      <w:pPr>
        <w:pStyle w:val="BodyText"/>
      </w:pPr>
      <w:r>
        <w:t>Verified: /page/about and /page/terms render with the corporate utility bar / nav / footer and the storefront’s navy / white / amber styling, matching /, /companies, /investors/overview, /investors/news and /contacts; the storefront production build passes; a signed-in customer still lands on the dashboard.</w:t>
      </w:r>
    </w:p>
    <w:p>
      <w:pPr>
        <w:pStyle w:val="Heading2"/>
      </w:pPr>
      <w:r>
        <w:t>Impact on this document</w:t>
      </w:r>
    </w:p>
    <w:p>
      <w:pPr>
        <w:pStyle w:val="BodyText"/>
      </w:pPr>
      <w:r>
        <w:t>Requirements — no material impact — this update only changes which shell and CSS the public /page/:slug content pages use, so they match the rest of the corporate site. No requirement, interface, data, process or plan item changes.</w:t>
      </w:r>
    </w:p>
    <w:p>
      <w:pPr>
        <w:pStyle w:val="Heading1"/>
      </w:pPr>
      <w:r>
        <w:t>67. Implementation Status Update 53 (29 August 2026) — Social Media Channels — Managed in Admin, Shown in the Storefront</w:t>
      </w:r>
    </w:p>
    <w:p>
      <w:pPr>
        <w:pStyle w:val="BodyText"/>
      </w:pPr>
      <w:r>
        <w:t>An administrator can now add the group’s social media channels in Admin » CMS / Site Builder, and they appear in the storefront footer — both the pre-login corporate pages and the signed-in customer pages.</w:t>
      </w:r>
    </w:p>
    <w:p>
      <w:pPr>
        <w:pStyle w:val="BodyText"/>
      </w:pPr>
      <w:r>
        <w:t>What was delivered:</w:t>
      </w:r>
    </w:p>
    <w:p>
      <w:pPr>
        <w:pStyle w:val="BodyText"/>
      </w:pPr>
      <w:r>
        <w:t>•  New table social_links (migration 20260829180000_social_media_links) — platform (enum: facebook, x, instagram, linkedin, youtube, tiktok, whatsapp, telegram, other), optional label, url, sort_order, is_visible, created_by, timestamps. Site-wide, not per-company — the same scope model as content pages.</w:t>
      </w:r>
    </w:p>
    <w:p>
      <w:pPr>
        <w:pStyle w:val="BodyText"/>
      </w:pPr>
      <w:r>
        <w:t>•  Admin API under /api/v1/cms: GET /cms/social-links (needs cms.viewAll or cms.manage), POST /cms/social-links, PATCH /cms/social-links/{id}, DELETE /cms/social-links/{id} (all writes need cms.manage). New service SocialLinksService in the CMS module; every write is audited (cms.social_link.created / updated / deleted, entity_type social_link). No new permission — it reuses cms.manage / cms.viewAll.</w:t>
      </w:r>
    </w:p>
    <w:p>
      <w:pPr>
        <w:pStyle w:val="BodyText"/>
      </w:pPr>
      <w:r>
        <w:t>•  Public API: GET /api/v1/customer-portal/public/social-links — PUBLIC, no token — returns the visible channels in the admin-set order ({ platform, label, url }); honours Accept-Language for the label.</w:t>
      </w:r>
    </w:p>
    <w:p>
      <w:pPr>
        <w:pStyle w:val="BodyText"/>
      </w:pPr>
      <w:r>
        <w:t>•  Admin UI: a “Social media channels” panel on the CMS / Site Builder screen — list with visible/hidden toggle, re-order, remove, and an add row (platform, URL, label). Storefront: the footer of CorporateLayout (corporate pages) and of the signed-in Layout renders a “Follow us” row of channel links; an empty list renders nothing.</w:t>
      </w:r>
    </w:p>
    <w:p>
      <w:pPr>
        <w:pStyle w:val="BodyText"/>
      </w:pPr>
      <w:r>
        <w:t>•  Seed: Facebook, X, LinkedIn and Instagram seeded as visible, a WhatsApp channel seeded hidden, all owned by the Managing Director (fixed ids, idempotent).</w:t>
      </w:r>
    </w:p>
    <w:p>
      <w:pPr>
        <w:pStyle w:val="BodyText"/>
      </w:pPr>
      <w:r>
        <w:t>Verified end to end: signed in as the Managing Director, added and toggled a channel via /cms/social-links; GET /customer-portal/public/social-links immediately reflected the visible set (a hidden channel is excluded, appears the moment it is shown); the storefront and admin production builds pass; OpenAPI now documents the three new paths.</w:t>
      </w:r>
    </w:p>
    <w:p>
      <w:pPr>
        <w:pStyle w:val="Heading2"/>
      </w:pPr>
      <w:r>
        <w:t>Impact on this document</w:t>
      </w:r>
    </w:p>
    <w:p>
      <w:pPr>
        <w:pStyle w:val="BodyText"/>
      </w:pPr>
      <w:r>
        <w:t>Requirements — new functional requirement: an authorised administrator (cms.manage) can create / edit / hide / delete social media channels; the storefront displays the visible ones. Read access follows cms.viewAll; the public storefront read needs no account.</w:t>
      </w:r>
    </w:p>
    <w:p>
      <w:pPr>
        <w:pStyle w:val="Heading1"/>
      </w:pPr>
      <w:r>
        <w:t>68. Implementation Status Update 54 (29 August 2026) — Landing-page Newsletter Sign-up and FAQ Section</w:t>
      </w:r>
    </w:p>
    <w:p>
      <w:pPr>
        <w:pStyle w:val="BodyText"/>
      </w:pPr>
      <w:r>
        <w:t>The corporate landing page gains a Newsletter sign-up band and an FAQ section. The FAQ items are managed by an administrator in Admin » CMS / Site Builder; newsletter sign-ups are captured from the landing page and listed for administrators there too.</w:t>
      </w:r>
    </w:p>
    <w:p>
      <w:pPr>
        <w:pStyle w:val="BodyText"/>
      </w:pPr>
      <w:r>
        <w:t>What was delivered:</w:t>
      </w:r>
    </w:p>
    <w:p>
      <w:pPr>
        <w:pStyle w:val="BodyText"/>
      </w:pPr>
      <w:r>
        <w:t>•  Two new tables (migration 20260829200000_landing_faq_newsletter). faq_items — question VARCHAR(300), answer TEXT, sort_order, is_visible, created_by, timestamps (site-wide, same scope model as content pages). newsletter_subscribers — email VARCHAR(255) UNIQUE, status (enum NewsletterStatus: subscribed / unsubscribed), source VARCHAR(80), timestamps.</w:t>
      </w:r>
    </w:p>
    <w:p>
      <w:pPr>
        <w:pStyle w:val="BodyText"/>
      </w:pPr>
      <w:r>
        <w:t>•  Admin API on /api/v1/cms (JWT + cms permissions): GET/POST/PATCH/DELETE /cms/faqs (writes need cms.manage; reads cms.viewAll or cms.manage); GET /cms/newsletter-subscribers (read, with total / subscribed / unsubscribed counts) and DELETE /cms/newsletter-subscribers/{id} (cms.manage). No new permission — reuses cms.manage / cms.viewAll. FAQ writes are audited (cms.faq_item.created / updated / deleted); a subscriber delete is audited (cms.newsletter_subscriber.deleted).</w:t>
      </w:r>
    </w:p>
    <w:p>
      <w:pPr>
        <w:pStyle w:val="BodyText"/>
      </w:pPr>
      <w:r>
        <w:t>•  Public API (no token): GET /api/v1/customer-portal/public/faqs — visible items in the admin order, { id, question, answer }, Accept-Language applied. POST /api/v1/customer-portal/public/newsletter { email, source? } — rate-limited (10 / minute / IP, SEC-05 style), idempotent, and non-enumerating (always returns { subscribed: true }; a repeat sign-up or a previously-unsubscribed address is silently re-subscribed).</w:t>
      </w:r>
    </w:p>
    <w:p>
      <w:pPr>
        <w:pStyle w:val="BodyText"/>
      </w:pPr>
      <w:r>
        <w:t>•  Admin UI: a “Landing-page FAQ” panel (inline-edit question / answer, show-hide, re-order, add, remove) and a read-only “Newsletter sign-ups” panel (counts + list + remove) on the CMS / Site Builder screen. Storefront: a NewsletterSection band and an expand/collapse FaqSection on the landing page; the FAQ section is omitted when there are no visible items.</w:t>
      </w:r>
    </w:p>
    <w:p>
      <w:pPr>
        <w:pStyle w:val="BodyText"/>
      </w:pPr>
      <w:r>
        <w:t>•  Seed: five demo FAQ items (four visible, one hidden), owned by the Managing Director (fixed ids, idempotent). No newsletter subscribers seeded.</w:t>
      </w:r>
    </w:p>
    <w:p>
      <w:pPr>
        <w:pStyle w:val="BodyText"/>
      </w:pPr>
      <w:r>
        <w:t>Verified end to end: as the Managing Director, listed and edited FAQ items via /cms/faqs; GET /customer-portal/public/faqs returned only the visible four; POST /customer-portal/public/newsletter accepted a new address (201) and a repeat (still 201), rejected a malformed address (400), and the sign-up appeared in GET /cms/newsletter-subscribers; the storefront and admin production builds pass; OpenAPI now documents the six new paths.</w:t>
      </w:r>
    </w:p>
    <w:p>
      <w:pPr>
        <w:pStyle w:val="Heading2"/>
      </w:pPr>
      <w:r>
        <w:t>Impact on this document</w:t>
      </w:r>
    </w:p>
    <w:p>
      <w:pPr>
        <w:pStyle w:val="BodyText"/>
      </w:pPr>
      <w:r>
        <w:t>Requirements — new functional requirements: an authorised administrator (cms.manage) manages landing-page FAQ items (create / edit / hide / delete / order); any visitor can submit an email address to the newsletter list (public, rate-limited, no account); administrators (cms.viewAll) can view and (cms.manage) delete newsletter sign-ups.</w:t>
      </w:r>
    </w:p>
    <w:p>
      <w:pPr>
        <w:pStyle w:val="Heading1"/>
      </w:pPr>
      <w:r>
        <w:t>69. Implementation Status Update 55 (30 August 2026) — Content Localisation Completed — Orders &amp; Payments (Read in Chosen Language, Store Input in English)</w:t>
      </w:r>
    </w:p>
    <w:p>
      <w:pPr>
        <w:pStyle w:val="BodyText"/>
      </w:pPr>
      <w:r>
        <w:t>The "read database text in the customer’s language, store the customer’s input in English" behaviour (Updates 32, 33, 39, 48) is now also applied to the two customer-facing areas it had not yet reached — order history and payments — closing the gap so the rule holds across the whole storefront.</w:t>
      </w:r>
    </w:p>
    <w:p>
      <w:pPr>
        <w:pStyle w:val="BodyText"/>
      </w:pPr>
      <w:r>
        <w:t>READ — shown in the chosen language (Accept-Language):</w:t>
      </w:r>
    </w:p>
    <w:p>
      <w:pPr>
        <w:pStyle w:val="BodyText"/>
      </w:pPr>
      <w:r>
        <w:t>•  GET /customer-portal/orders and /orders/{id} now return each line item’s product name, the selling subsidiary name, and the cancellation reason in the customer’s language, as far as the content glossary reaches; digits follow the language’s script. When the customer cancelled the order in the language they are now browsing in, their exact original wording is shown back instead of the translated English. The order-placement confirmation is localised the same way.</w:t>
      </w:r>
    </w:p>
    <w:p>
      <w:pPr>
        <w:pStyle w:val="BodyText"/>
      </w:pPr>
      <w:r>
        <w:t>WRITE — stored in English + 0-9 only:</w:t>
      </w:r>
    </w:p>
    <w:p>
      <w:pPr>
        <w:pStyle w:val="BodyText"/>
      </w:pPr>
      <w:r>
        <w:t>•  An order cancellation reason a customer types is normalised to English before it is stored (glossary + digit-normalise). The row keeps the customer’s exact original and its source language — new columns orders.cancellation_reason_original and orders.cancellation_source_language (migration 20260829210000_order_cancellation_reason_localisation) — the same shape delivery addresses, support tickets and the customer record already use. Staff who cancel an order type English; no original is kept.</w:t>
      </w:r>
    </w:p>
    <w:p>
      <w:pPr>
        <w:pStyle w:val="BodyText"/>
      </w:pPr>
      <w:r>
        <w:t>•  A payment reference (a bank / mobile-money transaction id) has its digits normalised to 0-9 on write, so a reference a customer typed in another numeral script is stored in the form a bank statement uses. It is an identifier, not prose — nothing else about it changes.</w:t>
      </w:r>
    </w:p>
    <w:p>
      <w:pPr>
        <w:pStyle w:val="BodyText"/>
      </w:pPr>
      <w:r>
        <w:t>No new endpoint and no new permission; the existing order routes now honour Accept-Language and the cancel route normalises its input. Staff always read and write English.</w:t>
      </w:r>
    </w:p>
    <w:p>
      <w:pPr>
        <w:pStyle w:val="BodyText"/>
      </w:pPr>
      <w:r>
        <w:t>Verified end to end: browsing in Swahili, order ORD-2026-0011’s line "Bean Seed — 10kg Bag" reads "Maharage Mbegu — 10kg Mfuko"; cancelling an order in Swahili with reason "Ghala" stores cancellation_reason = "Warehouse" with cancellation_reason_original = "Ghala" and cancellation_source_language = "sw" — an English (admin) read shows "Warehouse", the Swahili customer sees "Ghala"; a payment reference "MP٢٤٠٨٢٩.٠٠١" is stored as "MP240829.001". The backend build is clean.</w:t>
      </w:r>
    </w:p>
    <w:p>
      <w:pPr>
        <w:pStyle w:val="Heading2"/>
      </w:pPr>
      <w:r>
        <w:t>Impact on this document</w:t>
      </w:r>
    </w:p>
    <w:p>
      <w:pPr>
        <w:pStyle w:val="BodyText"/>
      </w:pPr>
      <w:r>
        <w:t>Requirements — the content-localisation FRs (read in language, store in English, uniform canonical numerals) now explicitly cover order line items, the selling subsidiary name, the order cancellation reason, and the payment reference. Staff always see and store English.</w:t>
      </w:r>
    </w:p>
    <w:p>
      <w:pPr>
        <w:pStyle w:val="Heading1"/>
      </w:pPr>
      <w:r>
        <w:t>70. Implementation Status Update 56 (30 August 2026) — Content Localisation — Final Edges (Dashboard, Account Statement &amp; Exported PDFs, Discount-Code Input)</w:t>
      </w:r>
    </w:p>
    <w:p>
      <w:pPr>
        <w:pStyle w:val="BodyText"/>
      </w:pPr>
      <w:r>
        <w:t>A sweep of every remaining customer-facing read and write path found three edges the "read in the customer’s language / store the customer’s input in English" rule had not yet reached; all three are now closed, so the rule holds everywhere a customer sees text or types it.</w:t>
      </w:r>
    </w:p>
    <w:p>
      <w:pPr>
        <w:pStyle w:val="BodyText"/>
      </w:pPr>
      <w:r>
        <w:t>READ — now shown in the chosen language (Accept-Language):</w:t>
      </w:r>
    </w:p>
    <w:p>
      <w:pPr>
        <w:pStyle w:val="BodyText"/>
      </w:pPr>
      <w:r>
        <w:t>•  GET /customer-portal/dashboard-summary — the Home screen’s "Recent Orders" widget: line-item product names and the selling subsidiary name (it passes the language through to the order projection).</w:t>
      </w:r>
    </w:p>
    <w:p>
      <w:pPr>
        <w:pStyle w:val="BodyText"/>
      </w:pPr>
      <w:r>
        <w:t>•  GET /customer-portal/invoices/statement — each transaction row now carries a typeLabel ("invoice" / "payment") in the customer’s language alongside the machine type.</w:t>
      </w:r>
    </w:p>
    <w:p>
      <w:pPr>
        <w:pStyle w:val="BodyText"/>
      </w:pPr>
      <w:r>
        <w:t>•  GET /customer-portal/invoices/statement/pdf and /invoices/{id}/pdf — the exported Account Statement and Invoice PDFs are labelled in the customer’s language (title, "Balance", the column headers, the row type and the invoice status), with digits transliterated. The storefront now sends Accept-Language on the download too. Known limit: PDFKit’s built-in font renders Latin scripts and 0-9 only, so a non-Latin script (Arabic, CJK, …) still shows those label words in English — font embedding is the follow-up, the same class of seam as free-prose translation.</w:t>
      </w:r>
    </w:p>
    <w:p>
      <w:pPr>
        <w:pStyle w:val="BodyText"/>
      </w:pPr>
      <w:r>
        <w:t>WRITE — matched / stored in English + 0-9:</w:t>
      </w:r>
    </w:p>
    <w:p>
      <w:pPr>
        <w:pStyle w:val="BodyText"/>
      </w:pPr>
      <w:r>
        <w:t>•  A discount code a customer types at checkout or in the validate call is normalised to 0-9 before the look-up (a code entered as "WELCOME١٠" now matches "WELCOME10"), then upper-cased — on both POST /customer-portal/orders and POST /customer-portal/discount-codes/validate.</w:t>
      </w:r>
    </w:p>
    <w:p>
      <w:pPr>
        <w:pStyle w:val="BodyText"/>
      </w:pPr>
      <w:r>
        <w:t>Glossary: added the account-statement / invoice-PDF label vocabulary ("Account Statement", "Balance", "Date", "Type", "Reference", "Amount", "Running Balance", "Order", "Status", "Invoice Number", "Due Date", "Paid At", the row types "invoice"/"payment", and the invoice statuses paid / overdue / due_soon / upcoming) for the eight fully-translated languages.</w:t>
      </w:r>
    </w:p>
    <w:p>
      <w:pPr>
        <w:pStyle w:val="BodyText"/>
      </w:pPr>
      <w:r>
        <w:t>No new endpoint, no new permission, no schema change. Staff always read and write English.</w:t>
      </w:r>
    </w:p>
    <w:p>
      <w:pPr>
        <w:pStyle w:val="BodyText"/>
      </w:pPr>
      <w:r>
        <w:t>Verified end to end: browsing in Swahili, the dashboard’s recent orders read "Maharage Mbegu — 10kg Mfuko"; the statement rows read "ankara" / "malipo"; the statement PDF header reads "Taarifa ya Akaunti … Tarehe / Aina / Kumbukumbu / Kiasi / Salio Linaloendelea" (and "Relevé de compte …" in French); a discount code "WELCOME١٠" is matched as "WELCOME10". Backend build clean; OpenAPI regenerated.</w:t>
      </w:r>
    </w:p>
    <w:p>
      <w:pPr>
        <w:pStyle w:val="Heading2"/>
      </w:pPr>
      <w:r>
        <w:t>Impact on this document</w:t>
      </w:r>
    </w:p>
    <w:p>
      <w:pPr>
        <w:pStyle w:val="BodyText"/>
      </w:pPr>
      <w:r>
        <w:t>Requirements — the content-localisation FRs now explicitly cover the dashboard recent-orders widget, the account statement (rows and PDFs), and matching of a customer-typed discount code. Staff always see and store English.</w:t>
      </w:r>
    </w:p>
    <w:p>
      <w:pPr>
        <w:pStyle w:val="Heading1"/>
      </w:pPr>
      <w:r>
        <w:t>71. Implementation Status Update 57 (30 August 2026) — Collateral Management Subsidiary + Multi-Site Collateral Management System Specification (New Doc 21)</w:t>
      </w:r>
    </w:p>
    <w:p>
      <w:pPr>
        <w:pStyle w:val="BodyText"/>
      </w:pPr>
      <w:r>
        <w:t>Using the same subsidiary-lifecycle capability, the Managing Director has set up a third specification-stage subsidiary — Morise Collateral Management Ltd — a wholly-owned collateral management agent (CMA) that monitors physical goods pledged as collateral (commodities, inventory, stored assets) for banks and financiers across many client sites (warehouses, silos, tank farms, yards, cold stores).</w:t>
      </w:r>
    </w:p>
    <w:p>
      <w:pPr>
        <w:pStyle w:val="BodyText"/>
      </w:pPr>
      <w:r>
        <w:t>Delivered — seed data only, no code / schema / permission change:</w:t>
      </w:r>
    </w:p>
    <w:p>
      <w:pPr>
        <w:pStyle w:val="BodyText"/>
      </w:pPr>
      <w:r>
        <w:t>•  Org structure seeded in seed.ts and fully manageable by the Managing Director (view / create / update / delete / activate): the company (a1000000-…-000000000006, wholly-owned, UGX, FY 1 January, registered office Nakasero, Kampala); 6 sites / branches (Kampala Head Office, Jinja Grain Silos, Mbale Warehouse, Masindi Grain Store, Kasese Cold Store, Buikwe Tank Farm); 9 departments (Field Inspection; Site &amp; Warehouse Management; Stock &amp; Collateral Control; Inspection &amp; Audit; Release &amp; Movement Authorization; Client &amp; Lender Relations; Compliance &amp; Risk; Workforce &amp; Rostering; IT &amp; Integrations); and 6 starter policies (GPS &amp; Evidence Integrity; Dual-Control Release Approval; Coverage Threshold Auto-Hold; Offline Field Sync; Multi-Client Stock Segregation; Inspection Frequency by Risk).</w:t>
      </w:r>
    </w:p>
    <w:p>
      <w:pPr>
        <w:pStyle w:val="BodyText"/>
      </w:pPr>
      <w:r>
        <w:t>•  A new numbered document — 21_Multi-Site Collateral Management System — Feature Specification — restates the client-supplied specification (retained in docx/ as Multi-Site-Collateral-Management-System-Feature-Specification.docx) in the house format of docs 19 and 20: ten feature modules (Site &amp; Warehouse Management; Field Inspector Operations / mobile app; Staff &amp; Workforce Management; Stock &amp; Collateral Management; Inspection &amp; Audit Workflow; Release &amp; Movement Authorization; Client / Lender Portal; Alerts &amp; Notifications; Reporting &amp; Compliance; Document Management), plus non-functional requirements, an architecture overview, the integration-points and phased-roadmap tables, user roles, the suggested technology stack, the organisation-as-built section, the relationship to the existing MBMS platform, and approval.</w:t>
      </w:r>
    </w:p>
    <w:p>
      <w:pPr>
        <w:pStyle w:val="BodyText"/>
      </w:pPr>
      <w:r>
        <w:t>•  None of the CMS modules are implemented. The subsidiary appears in the group directory / Group Overview (five subsidiaries now, 20 sites / branches) with no priced catalogue — it is a monitoring and inspection service, not a shop. A storefront presentation entry (sector + blurb) was added for its corporate-site card.</w:t>
      </w:r>
    </w:p>
    <w:p>
      <w:pPr>
        <w:pStyle w:val="BodyText"/>
      </w:pPr>
      <w:r>
        <w:t>Verified: after re-seed, GET /customer-portal/public/overview lists Morise Collateral Management Ltd with 6 branches and 0 products; the database holds the company, 6 branches, 9 departments and 6 policies under it; no migration ran (schema unchanged).</w:t>
      </w:r>
    </w:p>
    <w:p>
      <w:pPr>
        <w:pStyle w:val="Heading2"/>
      </w:pPr>
      <w:r>
        <w:t>Impact on this document</w:t>
      </w:r>
    </w:p>
    <w:p>
      <w:pPr>
        <w:pStyle w:val="BodyText"/>
      </w:pPr>
      <w:r>
        <w:t>Requirements — doc 21 adds the Multi-Site Collateral Management System requirements (ten modules + non-functional requirements). Nothing in the MBMS Phase 1 functional requirements changes; the subsidiary is managed through the existing organisation / subsidiary-lifecycle requirements.</w:t>
      </w:r>
    </w:p>
    <w:p>
      <w:pPr>
        <w:pStyle w:val="Heading1"/>
      </w:pPr>
      <w:r>
        <w:t>72. Implementation Status Update 58 (30 August 2026) — Full-page Demonstration-Disclaimer Gate (10-second Hold) + Admin-Managed Disclaimer Statements</w:t>
      </w:r>
    </w:p>
    <w:p>
      <w:pPr>
        <w:pStyle w:val="BodyText"/>
      </w:pPr>
      <w:r>
        <w:t>The demonstration disclaimer that used to appear as a dismissible modal over the corporate landing page is now a full-page gate a signed-out visitor must pass through first: the disclaimer is shown for a hold period (10 seconds by default, set server-side) with a live countdown on the button, then an "I Understand, Continue" button becomes active and the landing page appears. The acknowledgement is remembered per browser, so a return visitor goes straight to the landing page.</w:t>
      </w:r>
    </w:p>
    <w:p>
      <w:pPr>
        <w:pStyle w:val="BodyText"/>
      </w:pPr>
      <w:r>
        <w:t>The disclaimer text is now managed by admin staff, not hard-coded:</w:t>
      </w:r>
    </w:p>
    <w:p>
      <w:pPr>
        <w:pStyle w:val="BodyText"/>
      </w:pPr>
      <w:r>
        <w:t>•  New table disclaimer_items (migration 20260830130000_site_disclaimer) — body (text), sort_order, is_visible, created_by, timestamps. Site-wide, the same scope model as faq_items / social_links.</w:t>
      </w:r>
    </w:p>
    <w:p>
      <w:pPr>
        <w:pStyle w:val="BodyText"/>
      </w:pPr>
      <w:r>
        <w:t>•  Admin API on /api/v1/cms (JWT + cms permissions): GET / POST / PATCH / DELETE /cms/disclaimer-items — writes need cms.manage, reads cms.viewAll or cms.manage. No new permission. Every write is audited (cms.disclaimer_item.created / updated / deleted).</w:t>
      </w:r>
    </w:p>
    <w:p>
      <w:pPr>
        <w:pStyle w:val="BodyText"/>
      </w:pPr>
      <w:r>
        <w:t>•  Public API (no token): GET /api/v1/customer-portal/public/disclaimer → { holdSeconds, items: [{ id, body }] } — visible statements in the admin-set order, Accept-Language applied to the text, and the hold period the gate counts down.</w:t>
      </w:r>
    </w:p>
    <w:p>
      <w:pPr>
        <w:pStyle w:val="BodyText"/>
      </w:pPr>
      <w:r>
        <w:t>•  Admin UI: a "Site disclaimer" panel on the CMS / Site Builder screen (inline-edit statement, show / hide, re-order, add, remove). Storefront: a new full-page DisclaimerGate component gates "/" for a signed-out, un-acknowledged visitor; the deep-link corporate marketing routes redirect back through it. The old CorporateLayout modal remains only as a "Read disclaimer" re-opener, now fed by the same admin statements.</w:t>
      </w:r>
    </w:p>
    <w:p>
      <w:pPr>
        <w:pStyle w:val="BodyText"/>
      </w:pPr>
      <w:r>
        <w:t>•  Seed: five demonstration statements (proof-of-concept build; demo data; simulated payments; do not enter real information; access is issued by Morise Holdings), owned by the Managing Director (fixed ids, idempotent).</w:t>
      </w:r>
    </w:p>
    <w:p>
      <w:pPr>
        <w:pStyle w:val="BodyText"/>
      </w:pPr>
      <w:r>
        <w:t>Verified end to end: signed out, "/" shows the disclaimer gate with the five seeded statements and a disabled button counting down from 10; after the countdown the button activates and continuing shows the landing page; a reload goes straight to the landing page. As the Managing Director, adding a statement via /cms/disclaimer-items made it appear immediately in GET /customer-portal/public/disclaimer. Storefront and admin production builds pass; OpenAPI documents the three new paths.</w:t>
      </w:r>
    </w:p>
    <w:p>
      <w:pPr>
        <w:pStyle w:val="Heading2"/>
      </w:pPr>
      <w:r>
        <w:t>Impact on this document</w:t>
      </w:r>
    </w:p>
    <w:p>
      <w:pPr>
        <w:pStyle w:val="BodyText"/>
      </w:pPr>
      <w:r>
        <w:t>Requirements — new functional requirement: a signed-out visitor must acknowledge the demonstration disclaimer, shown full-page for a configurable hold period, before the public landing page is served; an authorised administrator (cms.manage) manages the disclaimer statements.</w:t>
      </w:r>
    </w:p>
    <w:p>
      <w:pPr>
        <w:pStyle w:val="Heading1"/>
      </w:pPr>
      <w:r>
        <w:t>73. Implementation Status Update 59 (30 August 2026) — Disclaimer Gate &amp; Corporate Landing Pages Localised into the Chosen Language</w:t>
      </w:r>
    </w:p>
    <w:p>
      <w:pPr>
        <w:pStyle w:val="BodyText"/>
      </w:pPr>
      <w:r>
        <w:t>The pre-login corporate surface — the full-page disclaimer gate, the landing page and the rest of the corporate mini-site (Companies, Profile, Group Leadership, Group Overview, News, Contacts, footer) — now renders in the language the visitor chooses, not only in English.</w:t>
      </w:r>
    </w:p>
    <w:p>
      <w:pPr>
        <w:pStyle w:val="BodyText"/>
      </w:pPr>
      <w:r>
        <w:t>What was delivered (front-end + glossary; no schema, endpoint or permission change):</w:t>
      </w:r>
    </w:p>
    <w:p>
      <w:pPr>
        <w:pStyle w:val="BodyText"/>
      </w:pPr>
      <w:r>
        <w:t>•  The 144 corporate / disclaimer / landing UI strings (previously English-only) are translated into the eight fully-supported languages — Swahili, Luganda, French, Spanish, Portuguese, German, Italian and Arabic — in locales/eu.js and locales/regional.js, so choosing one of those changes the whole pre-login surface, headings, labels, buttons and the disclaimer-gate countdown ("Please read — continue in Ns") included.</w:t>
      </w:r>
    </w:p>
    <w:p>
      <w:pPr>
        <w:pStyle w:val="BodyText"/>
      </w:pPr>
      <w:r>
        <w:t>•  The five seeded disclaimer statements are added to the content-translation glossary (content-glossary.ts) for the same eight languages, so GET /customer-portal/public/disclaimer returns them in the chosen language (Accept-Language), the same way the seeded CMS content-page bodies already do. An admin-added statement beyond the seeded five falls through untranslated until a real machine-translation provider is wired in — the documented glossary limit.</w:t>
      </w:r>
    </w:p>
    <w:p>
      <w:pPr>
        <w:pStyle w:val="BodyText"/>
      </w:pPr>
      <w:r>
        <w:t>•  First-visit language detection: with no stored choice, the storefront now honours an explicit ?lang=&lt;code&gt; on the URL (persisted), then the browser’s own preferred languages (navigator.languages), before falling back to English — so a Swahili, French or Arabic browser lands on its own language on the gate and landing page. The language picker on the gate still overrides and remembers the visitor’s explicit choice.</w:t>
      </w:r>
    </w:p>
    <w:p>
      <w:pPr>
        <w:pStyle w:val="BodyText"/>
      </w:pPr>
      <w:r>
        <w:t>•  Right-to-left safety net for Arabic: a small [dir="rtl"] block in corporate.css fixes the physically-placed bits (the gate’s list alignment, the overview table’s right-aligned figures, the FAQ question row, the two-column detail grids); the browser mirrors the rest from document.dir.</w:t>
      </w:r>
    </w:p>
    <w:p>
      <w:pPr>
        <w:pStyle w:val="BodyText"/>
      </w:pPr>
      <w:r>
        <w:t>Verified: the disclaimer gate opened at /?lang=sw, /?lang=fr and /?lang=ar renders its heading, the five statements, the countdown button, the hint line and the "Customer sign in" link entirely in that language, with the Arabic layout mirrored right-to-left; GET /customer-portal/public/disclaimer with Accept-Language: sw / fr / ar returns the statements translated. Storefront and admin production builds pass.</w:t>
      </w:r>
    </w:p>
    <w:p>
      <w:pPr>
        <w:pStyle w:val="Heading2"/>
      </w:pPr>
      <w:r>
        <w:t>Impact on this document</w:t>
      </w:r>
    </w:p>
    <w:p>
      <w:pPr>
        <w:pStyle w:val="BodyText"/>
      </w:pPr>
      <w:r>
        <w:t>Requirements — the storefront-localisation requirements now explicitly cover the pre-login corporate surface (disclaimer gate + landing + mini-site): its UI strings render in the chosen language, the seeded disclaimer statements are translated on read, and the language is detected on first visit from ?lang= or the browser before defaulting to English.</w:t>
      </w:r>
    </w:p>
    <w:p>
      <w:pPr>
        <w:pStyle w:val="Heading1"/>
      </w:pPr>
      <w:r>
        <w:t>74. Implementation Status Update 60 (30 August 2026) — Morise Collateral Management Ltd — Priced Services Catalogue Added to the Group Storefront</w:t>
      </w:r>
    </w:p>
    <w:p>
      <w:pPr>
        <w:pStyle w:val="BodyText"/>
      </w:pPr>
      <w:r>
        <w:t>Update 57 seeded Morise Collateral Management Ltd as an org structure only, with no storefront catalogue. It now has a priced service catalogue in the group storefront, drawn from the client-supplied reference catalogue “Services Offered by Collateral Management Companies” (retained in docx/ as Collateral-Management-Company-Services-Catalog.docx).</w:t>
      </w:r>
    </w:p>
    <w:p>
      <w:pPr>
        <w:pStyle w:val="BodyText"/>
      </w:pPr>
      <w:r>
        <w:t>What was delivered (seed data only — no code, schema or permission change; the group-storefront engine already supports any number of sellers):</w:t>
      </w:r>
    </w:p>
    <w:p>
      <w:pPr>
        <w:pStyle w:val="BodyText"/>
      </w:pPr>
      <w:r>
        <w:t>•  Ten priced services (CMC-5001–CMC-5010) across five storefront categories — Custody &amp; Control, Inspection &amp; Verification, Stock &amp; Movement Control, Risk &amp; Valuation, and Reporting &amp; Compliance — seeded onto the subsidiary’s six sites: Collateral Management Agreement (CMA) setup &amp; onboarding; Field Warehousing Control; Stock Inspection Visit (quantity, quality &amp; sampling); Weighbridge &amp; Tank / Silo Gauging; Stock Reconciliation &amp; Variance Report; Dual-Control Release Authorization; Collateral Valuation &amp; Coverage-Ratio Monitoring; Daily Stock-Position Reporting &amp; Lender Portal Access; Warehouse Receipt Issuance; and Facility / Site Accreditation Assessment. UGX pricing, per-service unit of measure, category and branch attribution.</w:t>
      </w:r>
    </w:p>
    <w:p>
      <w:pPr>
        <w:pStyle w:val="BodyText"/>
      </w:pPr>
      <w:r>
        <w:t>•  The subsidiary is given the same six-account starter chart (Cash and Bank, Accounts Receivable, Accounts Payable, Retained Earnings, Service Revenue, Cost of Services) and an open FY2026-Q1 period via ensureStorefrontBooks(), so its storefront orders invoice and GL-post in its own books — exactly as Update 47 did for Clearing &amp; Forwarding and Warehouse Management.</w:t>
      </w:r>
    </w:p>
    <w:p>
      <w:pPr>
        <w:pStyle w:val="BodyText"/>
      </w:pPr>
      <w:r>
        <w:t>•  The five catalogue category names and the recurring service-name tokens (collateral, custody, control, inspection, valuation, coverage, reconciliation, release, authorization, receipt, reporting, compliance, gauging, accreditation, facility, agreement, weighbridge, silo, tank, lender, portal, …) are added to the content-translation glossary for the eight fully-supported languages, so the rows render in the customer’s chosen language as far as the glossary reaches (proper nouns and the residual prose pass through, the documented limit).</w:t>
      </w:r>
    </w:p>
    <w:p>
      <w:pPr>
        <w:pStyle w:val="BodyText"/>
      </w:pPr>
      <w:r>
        <w:t>•  docx/21 gains an addendum — “Services Catalogue Seeded into the Storefront” — restating the reference catalogue’s nine categories, the physical-vs-financial comparison table, and the ten seeded services with their sites and prices. The Multi-Site Collateral Management System itself (docx/21 Sections 2–11) stays a future-phase backlog; only the priced catalogue is live.</w:t>
      </w:r>
    </w:p>
    <w:p>
      <w:pPr>
        <w:pStyle w:val="BodyText"/>
      </w:pPr>
      <w:r>
        <w:t>Verified end to end: after re-seed, GET /customer-portal/public/overview lists Morise Collateral Management Ltd with 6 sites and 10 products (group figures now 34 products across 18 categories); GET /customer-portal/catalog/products?companyId=…006 returns the ten services, priced and branch-tagged, and localised into Swahili / French on Accept-Language. No migration ran.</w:t>
      </w:r>
    </w:p>
    <w:p>
      <w:pPr>
        <w:pStyle w:val="Heading2"/>
      </w:pPr>
      <w:r>
        <w:t>Impact on this document</w:t>
      </w:r>
    </w:p>
    <w:p>
      <w:pPr>
        <w:pStyle w:val="BodyText"/>
      </w:pPr>
      <w:r>
        <w:t>Requirements — no new functional requirement. The group-catalogue requirements now cover a fifth selling subsidiary; the underlying Collateral Management System requirements (docx/21) are unchanged and unbuilt.</w:t>
      </w:r>
    </w:p>
    <w:p>
      <w:pPr>
        <w:pStyle w:val="Heading1"/>
      </w:pPr>
      <w:r>
        <w:t>75. Implementation Status Update 61 (30 August 2026) — Managing Director — Full Operational Authority Across Every Admin Category</w:t>
      </w:r>
    </w:p>
    <w:p>
      <w:pPr>
        <w:pStyle w:val="BodyText"/>
      </w:pPr>
      <w:r>
        <w:t>The Managing Director asked to be able to operate — view, create, edit, approve and execute — on every section of the four Admin categories (ADMIN / BACKEND, HUMAN RESOURCES, MY HR and FINANCIAL &amp; ACCOUNTING), not only to hold group-wide view. The role now carries the complete permission set, and the admin screens honour it.</w:t>
      </w:r>
    </w:p>
    <w:p>
      <w:pPr>
        <w:pStyle w:val="BodyText"/>
      </w:pPr>
      <w:r>
        <w:t>What changed (seed data + front-end gating; no schema, endpoint or migration):</w:t>
      </w:r>
    </w:p>
    <w:p>
      <w:pPr>
        <w:pStyle w:val="BodyText"/>
      </w:pPr>
      <w:r>
        <w:t>•  The Managing Director role in seed.ts (ROLE_PERMISSIONS['Managing Director']) is expanded from a mostly-view set to the full permission catalogue — all 53 codes, the same breadth as Super Administrator, plus identity.user.delegate as the top grantor of the delegated-administration model. It gains the manage / approve codes it previously lacked: employee.manage, employee.view.sensitive, accounting.manage, customer.manage, supplier.manage, supplier.view.sensitive, product.manage, asset.manage, recruitment.manage, attendance.manage, leave.manage, leave.approve, performance.manage, payroll.manage, sales.order.manage, support.ticket.manage, ap.manage, expense.approve.manager and expense.approve.finance. MY HR needs no permission (it is scoped by the signed-in user's employee record).</w:t>
      </w:r>
    </w:p>
    <w:p>
      <w:pPr>
        <w:pStyle w:val="BodyText"/>
      </w:pPr>
      <w:r>
        <w:t>•  Sixteen admin pages whose in-screen “manage / approve / create” controls were gated by a hard-coded role list — Accounting, Accounts Payable, Assets, Attendance, Customers, Employees, Expenses, Inter-Company, Leave, Order Management, Performance, Product Manager, Projects, Recruitment, Suppliers and Support Tickets — now also accept the matching permission code (hasRole(…) OR hasPermission('…')). This unlocks every control for the Managing Director and, more generally, for any role or user granted that permission through delegated administration; the newer screens (CMS, Departments, Inventory, Marketing, Payroll, Shift Scheduling) already worked this way.</w:t>
      </w:r>
    </w:p>
    <w:p>
      <w:pPr>
        <w:pStyle w:val="BodyText"/>
      </w:pPr>
      <w:r>
        <w:t>•  No new permission code and no change to how the API enforces each route — the backend already checked these codes; only the seeded grants and the front-end control visibility changed.</w:t>
      </w:r>
    </w:p>
    <w:p>
      <w:pPr>
        <w:pStyle w:val="BodyText"/>
      </w:pPr>
      <w:r>
        <w:t>Verified end to end: signed in as the Managing Director, GET /identity/auth/me returns all 53 permission codes; a read in every section of all four categories returns 200 with no 403; write (manage) calls — POST /suppliers, /customers, /products, /accounting/accounts, /assets, /attendance/shifts, /recruitment/vacancies, /payroll/runs, /shift-scheduling/entries, /employees — are accepted or fail only on payload validation (VALIDATION_ERROR), never on permission. Front-end build passes; OpenAPI unchanged.</w:t>
      </w:r>
    </w:p>
    <w:p>
      <w:pPr>
        <w:pStyle w:val="Heading2"/>
      </w:pPr>
      <w:r>
        <w:t>Impact on this document</w:t>
      </w:r>
    </w:p>
    <w:p>
      <w:pPr>
        <w:pStyle w:val="BodyText"/>
      </w:pPr>
      <w:r>
        <w:t>Requirements — the RBAC requirements now record that the Managing Director holds every permission (operate on all Admin, HR, MY HR and Financial &amp; Accounting sections); MY HR remains scoped by the user's own employee record and needs no permission.</w:t>
      </w:r>
    </w:p>
    <w:p>
      <w:pPr>
        <w:pStyle w:val="Heading1"/>
      </w:pPr>
      <w:r>
        <w:t>76. Implementation Status Update 62 (31 August 2026) — Morise Brand Mark — Professional Logo Across Both Apps</w:t>
      </w:r>
    </w:p>
    <w:p>
      <w:pPr>
        <w:pStyle w:val="BodyText"/>
      </w:pPr>
      <w:r>
        <w:t>The Managing Director asked for a proper, professional Morise logo to replace the plain letter “M” placeholder that stood in for a brand mark in both the staff Admin app and the Customer Storefront.</w:t>
      </w:r>
    </w:p>
    <w:p>
      <w:pPr>
        <w:pStyle w:val="BodyText"/>
      </w:pPr>
      <w:r>
        <w:t>The mark: a geometric monoline “M” that also reads as an upward growth line and as a route between points — the group moves inputs, fuel, freight and value across sites — with an amber diamond resting on its apex, standing for the holding company as the connecting keystone of its subsidiaries. Colours are the existing brand tokens: Morise Navy #1E3A5F, Morise Amber #D97706, white. The “M” is a single continuous stroke with round caps and joins so it stays crisp from a 16px favicon upward.</w:t>
      </w:r>
    </w:p>
    <w:p>
      <w:pPr>
        <w:pStyle w:val="BodyText"/>
      </w:pPr>
      <w:r>
        <w:t>What changed (front-end assets + a shared component; no backend, schema, endpoint or migration):</w:t>
      </w:r>
    </w:p>
    <w:p>
      <w:pPr>
        <w:pStyle w:val="BodyText"/>
      </w:pPr>
      <w:r>
        <w:t>•  New brand/ folder at the repository root: morise-logo.svg (primary lockup — navy tile mark + MORISE wordmark + HOLDINGS LIMITED subtitle), morise-logomark.svg (navy app-tile), morise-logomark-light.svg (white “M”, transparent) and morise-logomark-dark.svg (navy “M”, transparent), plus brand/README.md — a one-page brand sheet (concept, colour values, clear-space, minimum sizes, do / don’t, file inventory).</w:t>
      </w:r>
    </w:p>
    <w:p>
      <w:pPr>
        <w:pStyle w:val="BodyText"/>
      </w:pPr>
      <w:r>
        <w:t>•  One shared React component, src/components/Logo.jsx, added identically to mbms/frontend and mbms/storefront. The “M” stroke uses currentColor, so a &lt;Logo/&gt; dropped into an existing badge inherits navy-on-white or white-on-navy from that badge automatically; the apex diamond is always amber. Props: size, tile (standalone navy tile) and tone (stroke override).</w:t>
      </w:r>
    </w:p>
    <w:p>
      <w:pPr>
        <w:pStyle w:val="BodyText"/>
      </w:pPr>
      <w:r>
        <w:t>•  Every “M” placeholder now renders &lt;Logo/&gt;: the Admin top bar and the Admin login card; the Storefront shop header, the corporate mini-site nav, the full-page disclaimer gate, and the four customer auth screens (sign in, register, forgot / reset password). Both index.html files gained an inline SVG data-URI favicon of the navy tile mark.</w:t>
      </w:r>
    </w:p>
    <w:p>
      <w:pPr>
        <w:pStyle w:val="BodyText"/>
      </w:pPr>
      <w:r>
        <w:t>Verified: production build of both React apps passes (vite build, 73 modules each, no new warnings); headless screenshots of the Admin login and the Storefront disclaimer gate show the new mark rendering correctly on navy and on white. No API surface change — OpenAPI unchanged.</w:t>
      </w:r>
    </w:p>
    <w:p>
      <w:pPr>
        <w:pStyle w:val="Heading2"/>
      </w:pPr>
      <w:r>
        <w:t>Impact on this document</w:t>
      </w:r>
    </w:p>
    <w:p>
      <w:pPr>
        <w:pStyle w:val="BodyText"/>
      </w:pPr>
      <w:r>
        <w:t>Requirements — the branding / visual-identity requirement is now met by a defined mark (navy #1E3A5F, amber #D97706), a brand sheet and a reusable Logo component shared by both apps.</w:t>
      </w:r>
    </w:p>
    <w:p>
      <w:pPr>
        <w:pStyle w:val="Heading1"/>
      </w:pPr>
      <w:r>
        <w:t>77. Implementation Status Update 63 (31 August 2026) — Morise Banner Family — Professional Banner Set Across Both Apps</w:t>
      </w:r>
    </w:p>
    <w:p>
      <w:pPr>
        <w:pStyle w:val="BodyText"/>
      </w:pPr>
      <w:r>
        <w:t>Following the new Morise logo, the Managing Director asked for a full set of professional banners for Morise. A coherent banner family was designed on the same brand language (navy #1E3A5F / amber #D97706, the monoline logomark as a watermark, an amber keystone diamond, and a thin “route” line through nodes for “every input, every mile, every store”).</w:t>
      </w:r>
    </w:p>
    <w:p>
      <w:pPr>
        <w:pStyle w:val="BodyText"/>
      </w:pPr>
      <w:r>
        <w:t>What was produced — SVG assets in a new brand/banners/ folder at the repository root, plus a one-page section in brand/README.md:</w:t>
      </w:r>
    </w:p>
    <w:p>
      <w:pPr>
        <w:pStyle w:val="BodyText"/>
      </w:pPr>
      <w:r>
        <w:t>•  group-hero.svg (1600×520, text baked) and group-hero-bg.svg (texture only, for use behind live page copy); page-header-bg.svg (1600×200) for interior page heads; social-card.svg (1200×630) for Open Graph / social sharing; email-header.svg (1200×280) for newsletters; promo-strip.svg (1600×200) for the storefront promotional strip; announcement-ribbon.svg (1600×56, “Demonstration build — not for production use”); auth-side.svg (960×1200) for the sign-in screens; and one banner per subsidiary — subsidiary-agro / -logistics / -clearing-forwarding / -warehouse / -collateral (1600×420 each), same navy ground and amber diamond with a single sector-accent hue on the route line.</w:t>
      </w:r>
    </w:p>
    <w:p>
      <w:pPr>
        <w:pStyle w:val="BodyText"/>
      </w:pPr>
      <w:r>
        <w:t>•  Every SVG is standalone — no external fonts (a system sans stack in &lt;text&gt;), no external refs — so each works as a file, an &lt;img&gt;, or a CSS background.</w:t>
      </w:r>
    </w:p>
    <w:p>
      <w:pPr>
        <w:pStyle w:val="BodyText"/>
      </w:pPr>
      <w:r>
        <w:t>Wired into the apps (front-end assets + a little CSS; no backend, schema, endpoint or migration): the banner SVGs are copied into mbms/frontend/public/brand/banners/ and mbms/storefront/public/brand/banners/; the storefront hero (.sf-hero) and the corporate mini-site hero (.mc-hero) now layer group-hero-bg.svg over their existing navy→blue gradient (the gradient stays as a graceful fallback); both index.html files gained Open Graph / Twitter-card meta tags pointing at social-card.svg.</w:t>
      </w:r>
    </w:p>
    <w:p>
      <w:pPr>
        <w:pStyle w:val="BodyText"/>
      </w:pPr>
      <w:r>
        <w:t>Seed data (seed-only, idempotent guards): the storefront promotional banner rail for the demo customer’s company (Morise Agro Ltd) is now a curated set of three — “Season stock-up”, “One storefront for the whole group” and “Bulk fuel and haulage, booked online” — each rendered by the existing text-only PromoBanner model that the storefront home already consumes.</w:t>
      </w:r>
    </w:p>
    <w:p>
      <w:pPr>
        <w:pStyle w:val="BodyText"/>
      </w:pPr>
      <w:r>
        <w:t>Verified: both React apps build (vite build, no new warnings); the backend seed type-checks; the banner assets serve at /brand/banners/… on both dev servers; a headless render of group-hero.svg and a contact sheet of the full set confirm the banners are correct on navy and on white. OpenAPI unchanged.</w:t>
      </w:r>
    </w:p>
    <w:p>
      <w:pPr>
        <w:pStyle w:val="Heading2"/>
      </w:pPr>
      <w:r>
        <w:t>Impact on this document</w:t>
      </w:r>
    </w:p>
    <w:p>
      <w:pPr>
        <w:pStyle w:val="BodyText"/>
      </w:pPr>
      <w:r>
        <w:t>Requirements — the visual-identity / marketing-collateral requirement now has a defined banner family (dimensions, usage and colour recorded in brand/README.md) alongside the logo.</w:t>
      </w:r>
    </w:p>
    <w:p>
      <w:pPr>
        <w:pStyle w:val="Heading1"/>
      </w:pPr>
      <w:r>
        <w:t>78. Implementation Status Update 64 (31 August 2026) — Brand Banners Displayed Across the Customer Storefront</w:t>
      </w:r>
    </w:p>
    <w:p>
      <w:pPr>
        <w:pStyle w:val="BodyText"/>
      </w:pPr>
      <w:r>
        <w:t>The Managing Director asked that the Morise banners actually be displayed on the customer storefront, not only exist as brand assets. The banner family from brand/banners/ is now shown on every relevant storefront surface.</w:t>
      </w:r>
    </w:p>
    <w:p>
      <w:pPr>
        <w:pStyle w:val="BodyText"/>
      </w:pPr>
      <w:r>
        <w:t>What changed (storefront front-end only; no backend, schema, endpoint, permission or migration):</w:t>
      </w:r>
    </w:p>
    <w:p>
      <w:pPr>
        <w:pStyle w:val="BodyText"/>
      </w:pPr>
      <w:r>
        <w:t>•  A small helper in mbms/storefront/src/lib/corporate.js — bannerFor(name) maps a subsidiary to its /brand/banners/subsidiary-*.svg (group hero as the fallback), plus GROUP_HERO_BANNER and PROMO_STRIP_BANNER constants.</w:t>
      </w:r>
    </w:p>
    <w:p>
      <w:pPr>
        <w:pStyle w:val="BodyText"/>
      </w:pPr>
      <w:r>
        <w:t>•  Public holding-company site: the Companies grid on the landing page (corporate/Home.jsx) and the Companies directory (corporate/Companies.jsx) now render each card's picture as that subsidiary's banner instead of an empty grey placeholder; the single portfolio-company page (corporate/CompanyDetail.jsx) shows the subsidiary banner as its photo strip.</w:t>
      </w:r>
    </w:p>
    <w:p>
      <w:pPr>
        <w:pStyle w:val="BodyText"/>
      </w:pPr>
      <w:r>
        <w:t>•  Signed-in storefront: the subsidiary directory (Subsidiaries.jsx) shows the group hero banner at the top and each subsidiary's own banner on its card; the shop (Shop.jsx) shows the “One storefront for the whole group” promo strip, and swaps it for the selected subsidiary's banner when the company filter is set.</w:t>
      </w:r>
    </w:p>
    <w:p>
      <w:pPr>
        <w:pStyle w:val="BodyText"/>
      </w:pPr>
      <w:r>
        <w:t>•  CSS: img rules for .mc-co-photo and .mc-photo-strip (object-fit cover, left-anchored) and new .sf-hero-banner / .sf-shop-banner / .sf-sub-banner classes in storefront.css and corporate.css. The earlier .sf-hero / .mc-hero background-image treatment is unchanged.</w:t>
      </w:r>
    </w:p>
    <w:p>
      <w:pPr>
        <w:pStyle w:val="BodyText"/>
      </w:pPr>
      <w:r>
        <w:t>The admin-managed text PromoBanner rail on the signed-in home was already displayed and is unchanged (three curated rows since the previous update). No API surface change — OpenAPI unchanged.</w:t>
      </w:r>
    </w:p>
    <w:p>
      <w:pPr>
        <w:pStyle w:val="BodyText"/>
      </w:pPr>
      <w:r>
        <w:t>Verified: the storefront builds (vite build, no new warnings); the admin build is unaffected; headless screenshots of the landing Companies grid, the Companies directory, the subsidiary directory and the shop show the banners rendering correctly (per-subsidiary accent hues, left-anchored crop, group hero and promo strip in place).</w:t>
      </w:r>
    </w:p>
    <w:p>
      <w:pPr>
        <w:pStyle w:val="Heading2"/>
      </w:pPr>
      <w:r>
        <w:t>Impact on this document</w:t>
      </w:r>
    </w:p>
    <w:p>
      <w:pPr>
        <w:pStyle w:val="BodyText"/>
      </w:pPr>
      <w:r>
        <w:t>Requirements — the storefront visual-identity requirement is now met on-screen: the group and per-subsidiary banners are displayed, not just defined.</w:t>
      </w:r>
    </w:p>
    <w:p>
      <w:pPr>
        <w:pStyle w:val="Heading1"/>
      </w:pPr>
      <w:r>
        <w:t>79. Implementation Status Update 65 (31 August 2026) — Delivery Management System for Morise Logistics Ltd — Specification (New Doc 22) + Phase 1 Back End</w:t>
      </w:r>
    </w:p>
    <w:p>
      <w:pPr>
        <w:pStyle w:val="BodyText"/>
      </w:pPr>
      <w:r>
        <w:t>As an administrator, the Managing Director asked for the concept of delivery to be added to the subsidiary Morise Logistics Ltd — a delivery capability that takes goods, services and invoices to customers who have placed orders through the group Customer Storefront, carrying each order from “ready for delivery” through dispatch and transit to a recorded proof of delivery. The delivery software's functional and technical scope has been captured as a new companion specification, docx/22_Delivery Management System — Feature Specification, restating the client-supplied Delivery-Software-Feature-Specification.docx in the same house format as docs 19, 20 and 21.</w:t>
      </w:r>
    </w:p>
    <w:p>
      <w:pPr>
        <w:pStyle w:val="BodyText"/>
      </w:pPr>
      <w:r>
        <w:t>The specification describes the full target platform (ten feature modules — customer delivery experience; driver / courier app; dispatch &amp; operations console; route optimisation; proof of delivery &amp; exceptions; document &amp; invoice delivery; pricing, zones &amp; fees; fleet &amp; driver management; notifications; reporting — plus architecture, roles and a roadmap). A Phase 1 back end covering the core of that workflow is already implemented in MBMS: Prisma migration 20260831120000_delivery (tables deliveries, delivery_drivers, delivery_events; status / kind / proof enums), a src/delivery/ NestJS module wired into AppModule, a staff API at /api/v1/delivery (list / create / assign driver / advance status / capture proof / fail / cancel, dispatch metrics, an eligible-orders queue, and driver CRUD) and a customer tracking read at GET /api/v1/customer-portal/orders/:id/delivery — every endpoint scope-checked and every mutation audited. Completing a goods delivery advances its order to “delivered”.</w:t>
      </w:r>
    </w:p>
    <w:p>
      <w:pPr>
        <w:pStyle w:val="BodyText"/>
      </w:pPr>
      <w:r>
        <w:t>The capability is not yet wired for use: the delivery.manage and delivery.viewAll permission codes are not in the seed permission catalogue and no role holds them, so every /api/v1/delivery call currently returns 403; there is no seed data, no “Delivery” screen in the Admin app and no tracking view in the storefront, and openapi.json has not been regenerated. Morise Logistics Ltd already exists as a live subsidiary (Jinja Branch; last-mile delivery service LOG-2003); the delivery hubs, departments and policies in doc 22 Section 8 remain proposals. The wider platform (mobile apps, route optimisation, the fee engine, telematics, notifications, driver analytics) is future scope.</w:t>
      </w:r>
    </w:p>
    <w:p>
      <w:pPr>
        <w:pStyle w:val="Heading2"/>
      </w:pPr>
      <w:r>
        <w:t>Impact on this document</w:t>
      </w:r>
    </w:p>
    <w:p>
      <w:pPr>
        <w:pStyle w:val="BodyText"/>
      </w:pPr>
      <w:r>
        <w:t>Requirements — doc 22 records the functional and non-functional requirements of the Delivery Management System. The core functional requirements (delivery lifecycle create → assign → picked_up → in_transit → delivered, failure and cancellation, proof of delivery, driver registry, dispatch metrics, customer tracking read) are implemented; RBAC activation, the mobile apps, routing, the fee engine and analytics are not. The numbered SRS Section 2.2 Phase 1 boundary is unchanged.</w:t>
      </w:r>
    </w:p>
    <w:p>
      <w:pPr>
        <w:pStyle w:val="Heading1"/>
      </w:pPr>
      <w:r>
        <w:t>80. Implementation Status Update 66 (31 August 2026) — Automatic Morise-Stamped Invoice on Customer-Acknowledged Delivery (Doc 22 Addendum)</w:t>
      </w:r>
    </w:p>
    <w:p>
      <w:pPr>
        <w:pStyle w:val="BodyText"/>
      </w:pPr>
      <w:r>
        <w:t>A customer has asked that, once the delivery persona from Morise Logistics Ltd has delivered the goods or services and the customer has acknowledged receiving them in good condition, MBMS automatically issues a Morise-stamped invoice for that order — one branded document that is the definitive proof of supply and of the customer's acceptance. The concept has been added to docx/22_Delivery Management System — Feature Specification as an addendum (“Customer Acknowledgement of Delivery &amp; the Automatic Morise-Stamped Invoice”).</w:t>
      </w:r>
    </w:p>
    <w:p>
      <w:pPr>
        <w:pStyle w:val="BodyText"/>
      </w:pPr>
      <w:r>
        <w:t>Mechanism. The delivery persona completes the delivery and captures proof of delivery (delivery — “delivered”, order — “delivered”). The customer is then prompted in the storefront to confirm the outcome — received in good condition, damaged, incomplete, or not received (proposed POST /api/v1/customer-portal/orders/:id/delivery/acknowledge, customer-JWT, audited). On a “good condition” acknowledgement the order's existing invoice is moved to an issued / stamped state and a Morise-stamped invoice PDF is generated — the Morise brand mark used as a seal, plus the delivery and acknowledgement details, in the customer's language. On any other outcome no stamp is issued: a delivery exception is opened and the invoice stays provisional.</w:t>
      </w:r>
    </w:p>
    <w:p>
      <w:pPr>
        <w:pStyle w:val="BodyText"/>
      </w:pPr>
      <w:r>
        <w:t>Status — specification only. It extends the Delivery Management System (doc 22, whose Phase 1 back end is present but switched off) and the existing per-order invoice with an issued / stamped state and a branded document. Nothing is built: there is no customer acknowledgement endpoint, no invoice-stamp fields or migration, and no brand mark in the invoice PDF (today a plain table with a text footer). Recorded as a doc 22 addendum plus this status-log entry; no code, schema, endpoint, permission or migration change; OpenAPI unchanged.</w:t>
      </w:r>
    </w:p>
    <w:p>
      <w:pPr>
        <w:pStyle w:val="Heading2"/>
      </w:pPr>
      <w:r>
        <w:t>Impact on this document</w:t>
      </w:r>
    </w:p>
    <w:p>
      <w:pPr>
        <w:pStyle w:val="BodyText"/>
      </w:pPr>
      <w:r>
        <w:t>Requirements — new functional requirements: a customer delivery-acknowledgement action carrying a stated condition; automatic issue and stamping of the order invoice on a “good condition” acknowledgement; a branded stamped-invoice document; and suppression of the stamp plus a delivery exception on a non-good acknowledgement. Future scope; the SRS Section 2.2 Phase 1 boundary is unchanged.</w:t>
      </w:r>
    </w:p>
    <w:p>
      <w:pPr>
        <w:pStyle w:val="Heading1"/>
      </w:pPr>
      <w:r>
        <w:t>81. Implementation Status Update 67 (31 August 2026) — Admin Assignment of a Morise Logistics Ltd Delivery Persona to an Order (Doc 22 Addendum)</w:t>
      </w:r>
    </w:p>
    <w:p>
      <w:pPr>
        <w:pStyle w:val="BodyText"/>
      </w:pPr>
      <w:r>
        <w:t>An administrator has asked to be able to assign a delivery persona (a driver / courier) from Morise Logistics Ltd to deliver the products or services on an order a customer has placed. The workflow has been recorded in docx/22_Delivery Management System — Feature Specification as an addendum (“Admin Assignment of a Morise Logistics Ltd Delivery Persona to an Order”), covering Sections 2.3 (Dispatch &amp; Operations Console) and 2.8 (Fleet &amp; Driver Management).</w:t>
      </w:r>
    </w:p>
    <w:p>
      <w:pPr>
        <w:pStyle w:val="BodyText"/>
      </w:pPr>
      <w:r>
        <w:t>A dispatcher (a user with delivery.manage) reviews the orders that can still be handed to Logistics (GET /api/v1/delivery/eligible-orders — a fulfilment-state order, not cancelled, without a delivery), creates a delivery against the chosen order (POST /api/v1/delivery, companyId = Morise Logistics Ltd, orderId — customer, origin company, drop address and delivery fee resolved from the order), and assigns a delivery persona from Morise Logistics Ltd's pool, either on create (driverId — status “assigned”) or afterwards (POST /api/v1/delivery/:id/assign with driverId, optional scheduledDate, note). Personas are delivery_drivers rows scoped to Morise Logistics Ltd (name, phone, licence, vehicle, active flag, optional Employee link) with their own CRUD and an open-delivery count; assignment is refused unless the persona is active and in the same company as the delivery. Assigning stamps assignedAt, moves a “pending” delivery to “assigned”, logs a delivery event and records a delivery.driver_assigned audit entry; a non-terminal delivery can be reassigned the same way. All of this is implemented in the Phase 1 back end.</w:t>
      </w:r>
    </w:p>
    <w:p>
      <w:pPr>
        <w:pStyle w:val="BodyText"/>
      </w:pPr>
      <w:r>
        <w:t>Not yet usable: the delivery.manage / delivery.viewAll permission codes are not in the seed permission catalogue and no role holds them, so every /api/v1/delivery call returns 403; there are no seeded Morise Logistics Ltd drivers, and there is no “Delivery” dispatch screen in the Admin app. Recorded as a doc 22 addendum plus this status-log entry; no code, schema, endpoint, permission or migration change; OpenAPI unchanged.</w:t>
      </w:r>
    </w:p>
    <w:p>
      <w:pPr>
        <w:pStyle w:val="Heading2"/>
      </w:pPr>
      <w:r>
        <w:t>Impact on this document</w:t>
      </w:r>
    </w:p>
    <w:p>
      <w:pPr>
        <w:pStyle w:val="BodyText"/>
      </w:pPr>
      <w:r>
        <w:t>Requirements — functional requirement: an authorised dispatcher can create a delivery for an eligible order and assign or reassign a Morise Logistics Ltd delivery persona to it, with the system rejecting an inactive or out-of-company persona and a terminal delivery. Implemented server-side; UI and RBAC activation outstanding.</w:t>
      </w:r>
    </w:p>
    <w:p>
      <w:pPr>
        <w:pStyle w:val="Heading1"/>
      </w:pPr>
      <w:r>
        <w:t>82. Implementation Status Update 68 (31 August 2026) — Delivery Module Activated — delivery.manage / delivery.viewAll Seeded &amp; Granted</w:t>
      </w:r>
    </w:p>
    <w:p>
      <w:pPr>
        <w:pStyle w:val="BodyText"/>
      </w:pPr>
      <w:r>
        <w:t>The Delivery Management System back end for Morise Logistics Ltd (docx/22; recorded across Updates 65—67) has been activated. Its two permission codes — delivery.manage and delivery.viewAll — have been added to the seed permission catalogue (prisma/seed.ts, domain operations) and granted to roles, so the dispatch API is now reachable and an authorised administrator can assign a delivery persona from Morise Logistics Ltd to a customer's order.</w:t>
      </w:r>
    </w:p>
    <w:p>
      <w:pPr>
        <w:pStyle w:val="BodyText"/>
      </w:pPr>
      <w:r>
        <w:t>Grants: delivery.manage + delivery.viewAll to Super Administrator, Managing Director, IT Administrator and Operations Manager; delivery.manage (own company scope) to Branch Manager; delivery.viewAll to Group CEO, Auditor, External Auditor, Board Member and Read-only User. Verified end to end against the running system: signed in as the Managing Director, GET /api/v1/delivery, /delivery/metrics, /delivery/eligible-orders and /delivery/drivers return 200 (they returned 403 before); a Morise Logistics Ltd delivery persona was created, a delivery (DEL-2026-0001) was created for a storefront order — the customer, drop address and delivery fee were resolved from the order — and the persona was assigned, moving the delivery pending → assigned, stamping assignedAt, appending a delivery event and recording a delivery.driver_assigned audit entry. The verification rows were then removed, so no delivery data is seeded.</w:t>
      </w:r>
    </w:p>
    <w:p>
      <w:pPr>
        <w:pStyle w:val="BodyText"/>
      </w:pPr>
      <w:r>
        <w:t>Seed data + grants only — no schema, endpoint, migration or application-code change; the endpoints were already built and wired (recorded in Update 65). This supersedes the “switched off / every /api/v1/delivery call returns 403” statements in Updates 65, 66 and 67 and their addenda. Still pending: seeded Morise Logistics Ltd delivery personas, an Admin “Delivery” dispatch screen (and a storefront tracking view), and an openapi.json regeneration so the endpoints appear in the published API contract.</w:t>
      </w:r>
    </w:p>
    <w:p>
      <w:pPr>
        <w:pStyle w:val="Heading2"/>
      </w:pPr>
      <w:r>
        <w:t>Impact on this document</w:t>
      </w:r>
    </w:p>
    <w:p>
      <w:pPr>
        <w:pStyle w:val="BodyText"/>
      </w:pPr>
      <w:r>
        <w:t>Requirements — the delivery-assignment requirements (an authorised dispatcher creates a delivery for an eligible order and assigns / reassigns a persona, with guards on an inactive / wrong-company persona and a terminal delivery) are now enforceable in the running system, not only specified.</w:t>
      </w:r>
    </w:p>
    <w:p>
      <w:pPr>
        <w:pStyle w:val="Heading1"/>
      </w:pPr>
      <w:r>
        <w:t>83. Implementation Status Update 69 (31 August 2026) — Customer Storefront Wording: Services Catalog / Add to Invoice / Invoice</w:t>
      </w:r>
    </w:p>
    <w:p>
      <w:pPr>
        <w:pStyle w:val="BodyText"/>
      </w:pPr>
      <w:r>
        <w:t>An administrator asked for three wording changes in the Customer Storefront: “product catalog” becomes “services catalog”, the “Add to Cart” action becomes “Add to Invoice”, and “Cart” becomes “Invoice” throughout the shopping flow.</w:t>
      </w:r>
    </w:p>
    <w:p>
      <w:pPr>
        <w:pStyle w:val="BodyText"/>
      </w:pPr>
      <w:r>
        <w:t>The change is front-end text only. It updates the storefront's string catalogue: en.js (the master key set) in full — header.cart (Cart — Invoice), common.addToCart / productDetail.added / productDetail.addFromBranch (the “Add to Cart” / “Added to Cart” forms — the “Invoice” forms), shop.heading (“Product Catalog” — “Services Catalog”), shop.loadFailed, cart.crumb (“Shop / Cart” — “Shop / Invoice”), cart.heading (“Cart &amp; Checkout” — “Invoice &amp; Checkout”), cart.emptyLead, cart.browseCatalog, landing.feat.shop.title, and the landing hero / step / disclaimer prose that mentions “product catalog” or “your cart” — plus the matching, already-translated keys in the eight other full languages (French, Spanish, Portuguese, German, Italian, Swahili, Luganda, Arabic) and the two partial ones (Runyankole, Acholi), so no supported language shows the old wording. The header basket icon changes from 🛒 to 🧾.</w:t>
      </w:r>
    </w:p>
    <w:p>
      <w:pPr>
        <w:pStyle w:val="BodyText"/>
      </w:pPr>
      <w:r>
        <w:t>No route, component, API, permission or data-model change: the URL is still /cart, the React components (CartPage, CartProvider, lib/cart.jsx), the CSS classes and the orders / invoices back end are untouched — an order still creates its Invoice at order time exactly as before. Only the customer-facing labels change, to “services catalog”, “Add to Invoice” and “Invoice”. Verified with a production vite build (73 modules, no errors).</w:t>
      </w:r>
    </w:p>
    <w:p>
      <w:pPr>
        <w:pStyle w:val="Heading2"/>
      </w:pPr>
      <w:r>
        <w:t>Impact on this document</w:t>
      </w:r>
    </w:p>
    <w:p>
      <w:pPr>
        <w:pStyle w:val="BodyText"/>
      </w:pPr>
      <w:r>
        <w:t>Requirements — a UI-wording requirement: the storefront catalogue is labelled “Services Catalog”, the add action “Add to Invoice”, and the basket step “Invoice”. No functional-requirement change.</w:t>
      </w:r>
    </w:p>
    <w:p>
      <w:pPr>
        <w:pStyle w:val="Heading1"/>
      </w:pPr>
      <w:r>
        <w:t>84. Implementation Status Update 70 (1 September 2026) — Payroll Management — Feature Specification</w:t>
      </w:r>
    </w:p>
    <w:p>
      <w:pPr>
        <w:pStyle w:val="BodyText"/>
      </w:pPr>
      <w:r>
        <w:t>An administrator asked that a Payroll Management section be recorded: the payroll system should support employees across multiple subsidiaries, with salary structures (basic salary, allowances, overtime, bonuses, commissions), deductions (loans, advances, taxes, statutory deductions, pension contributions), payroll approval, payslip generation, bank payment schedules, payroll history, and payroll reports at department, company and consolidated group level.</w:t>
      </w:r>
    </w:p>
    <w:p>
      <w:pPr>
        <w:pStyle w:val="BodyText"/>
      </w:pPr>
      <w:r>
        <w:t>Much of the core is already built (Update 41, 28 August 2026). MBMS runs a monthly PayrollRun per subsidiary (draft → approved → paid), producing a Payslip per active employee that computes Uganda PAYE and the NSSF employee / employer contributions from Employee.grossSalary, less any salary-advance instalment and a manual other-deductions figure; paying a run posts a balanced journal entry to that company's ledger and notifies each employee whose login can see their payslip. Salary advances have their own request → approve / reject → recovering → recovered lifecycle and are recovered automatically by the next run. The module is multi-subsidiary: every run is company-scoped and payroll.viewAll gives group-wide visibility; My Payslips is the employee self-service view. Of the requested list, these are live: multi-subsidiary support, basic (gross) salary, advances, taxes (PAYE), statutory deductions (NSSF), pension via NSSF, payroll approval, payslip data generation and payroll history.</w:t>
      </w:r>
    </w:p>
    <w:p>
      <w:pPr>
        <w:pStyle w:val="BodyText"/>
      </w:pPr>
      <w:r>
        <w:t>The rest is recorded as the Payroll Management backlog on top of that core, and is not built: a salary-structure model with distinct components (basic, allowances, overtime, bonuses, commissions) rather than a single gross figure; typed deductions and a long-term loan facility (with an interest / repayment schedule) distinct from the short-term advance; a voluntary / occupational pension scheme beyond NSSF; a rendered PDF payslip; bank payment schedules / an EFT payment file; and the reporting suite — payroll reports, department payroll reports (there is no department dimension on the payslip today), company payroll reports and consolidated group payroll reports (no report endpoint exists). This update adds the specification only — no code, schema, endpoint or permission change; the built Payroll module is unchanged.</w:t>
      </w:r>
    </w:p>
    <w:p>
      <w:pPr>
        <w:pStyle w:val="Heading2"/>
      </w:pPr>
      <w:r>
        <w:t>Impact on this document</w:t>
      </w:r>
    </w:p>
    <w:p>
      <w:pPr>
        <w:pStyle w:val="BodyText"/>
      </w:pPr>
      <w:r>
        <w:t>Requirements — new functional requirements (FR-PAY): salary structures (basic + allowances + overtime + bonuses + commissions); deductions (loans, advances, taxes, statutory, pension); payroll approval; payslip generation; bank payment schedules; payroll history; and payroll reports at department, company and consolidated group level, across subsidiaries. Approval, PAYE / NSSF, advances, history and multi-subsidiary scope are already met; the remainder is specified as planned.</w:t>
      </w:r>
    </w:p>
    <w:p>
      <w:pPr>
        <w:pStyle w:val="Heading1"/>
      </w:pPr>
      <w:r>
        <w:t>85. Implementation Status Update 71 (1 September 2026) — Payroll: Salary Structures, Allowances, Overtime &amp; Bonuses</w:t>
      </w:r>
    </w:p>
    <w:p>
      <w:pPr>
        <w:pStyle w:val="BodyText"/>
      </w:pPr>
      <w:r>
        <w:t>Implementing the first slice of the Payroll Management backlog recorded in Update 70: salary structures, allowances, overtime and bonuses are now built. An employee's monthly pay is built up from a salary structure of components — a basic salary, one or more allowances, and one-off overtime or bonus lines — instead of a single flat gross figure.</w:t>
      </w:r>
    </w:p>
    <w:p>
      <w:pPr>
        <w:pStyle w:val="BodyText"/>
      </w:pPr>
      <w:r>
        <w:t>What changed (mbms/backend/src/payroll/ + one migration + the Payroll admin screen): a new salary_components table (type basic / allowance / overtime / bonus, label, amount, a recurring flag, and periodYear / periodMonth for a one-off line) holds each employee's structure; a payslip_components child table records the earnings breakdown captured on every payslip. A payroll run now derives each employee's gross from the sum of their applicable components (all recurring components, plus one-off components tagged for that month), falling back to Employee.grossSalary when an employee has no structure — so existing data keeps working. PAYE and NSSF are still computed on the resulting gross by the same Uganda statutory util; the GL posting on pay is unchanged. New endpoints: GET / POST /api/v1/payroll/salary-components, PATCH / DELETE /api/v1/payroll/salary-components/:id, and GET /api/v1/payroll/salary-structure/:employeeId (the assembled structure for a month with a PAYE / NSSF / net preview) — all under the existing payroll.manage / payroll.viewAll permissions, no new code. The Admin Payroll screen gains a Salary structures tab; each payslip row in a run expands to its component breakdown; My Payslips carries the same breakdown.</w:t>
      </w:r>
    </w:p>
    <w:p>
      <w:pPr>
        <w:pStyle w:val="BodyText"/>
      </w:pPr>
      <w:r>
        <w:t>Verified end to end: two demo Morise Agro Ltd employees were given a structure (basic + housing + transport allowances, plus a one-off overtime line for Grace Auma and a one-off performance bonus for Peter Kintu); a September 2026 payroll run derived their gross from the components (Grace 1,600,000 → 1,780,000 with the overtime; Kintu 2,800,000 → 3,300,000 with the bonus) and each payslip carried the four-line breakdown, while structure-less employees fell back to their flat gross unchanged; component create / update / delete work and a role without payroll.manage is refused (403). Backend nest build and the admin vite build are clean. Migration 20260901120000_salary_structures applied. The remaining Payroll Management backlog — commissions, typed deductions, a loan facility, a voluntary pension, a payslip PDF, bank payment schedules and the reporting suite — is unchanged.</w:t>
      </w:r>
    </w:p>
    <w:p>
      <w:pPr>
        <w:pStyle w:val="Heading2"/>
      </w:pPr>
      <w:r>
        <w:t>Impact on this document</w:t>
      </w:r>
    </w:p>
    <w:p>
      <w:pPr>
        <w:pStyle w:val="BodyText"/>
      </w:pPr>
      <w:r>
        <w:t>Requirements — the FR-PAY salary-structure requirements are met: an authorised payroll officer defines an employee's basic salary, allowances and one-off overtime / bonus lines; a run computes gross from the applicable components; the payslip shows the breakdown. Commissions and the deduction side remain planned.</w:t>
      </w:r>
    </w:p>
    <w:p>
      <w:pPr>
        <w:pStyle w:val="Heading1"/>
      </w:pPr>
      <w:r>
        <w:t>86. Implementation Status Update 72 (1 September 2026) — Accounting &amp; Finance Feature Section</w:t>
      </w:r>
    </w:p>
    <w:p>
      <w:pPr>
        <w:pStyle w:val="BodyText"/>
      </w:pPr>
      <w:r>
        <w:t>An administrator asked that a “7. Accounting and Finance” section be recorded: the financial module should be one of the core components of the system, covering General Ledger (chart of accounts, journal entries, general ledger, trial balance, financial periods, account reconciliation, recurring journals, adjusting entries, closing entries), Accounts Receivable (customer invoices, credit / debit notes, customer payments, outstanding invoices, payment reminders, customer statements, aging reports, receivable reconciliation), Accounts Payable (supplier / purchase invoices, supplier payments, credit notes, supplier statements, outstanding bills, aging reports, payment schedules, approval workflows) and Financial Statements (Profit and Loss, Balance Sheet, Cash Flow Statement, Trial Balance, General Ledger, Statement of Changes in Equity, Budget versus actual, Financial ratios, Management accounts).</w:t>
      </w:r>
    </w:p>
    <w:p>
      <w:pPr>
        <w:pStyle w:val="BodyText"/>
      </w:pPr>
      <w:r>
        <w:t>This module is already one of the built core components of MBMS — the Sprint 10 “Full Accounting” slice and the 19 August 2026 Financial Module Deepening. Against the requested list, all four areas are substantially built. General Ledger: the Account chart (type / sub-type), JournalEntry / JournalEntryItem with a draft → posted lifecycle and a standard / adjusting / closing entry type, FinancialPeriod with an open → closed lifecycle (a close posts the closing entries), RecurringJournalEntry with a generate action, AccountReconciliation, and reports for the general ledger and trial balance. Accounts Receivable: Invoice, CustomerCreditNote / CustomerDebitNote, Payment / PaymentAllocation, and /ar endpoints for aging, outstanding invoices, a customer statement (with PDF) and a payment reminder. Accounts Payable: SupplierInvoice / SupplierInvoiceItem with a draft → pending_approval → approved → paid workflow (submit-for-approval / approve under ap.approve), SupplierPayment / SupplierPaymentApplication, SupplierCreditNote, and /ap endpoints for aging, a supplier statement and a payment schedule. Financial Statements: /accounting/reports/ for income-statement (Profit and Loss), balance-sheet, cash-flow-statement, trial-balance, general-ledger, statement-of-changes-in-equity, budget-vs-actual (with the Budget model), financial-ratios and management-accounts. All gated by accounting.manage / accounting.viewAll (AR reuses these) and ap.manage / ap.approve / ap.viewAll; the finance/overview endpoint and the FINANCIAL &amp; ACCOUNTING admin category tie them together.</w:t>
      </w:r>
    </w:p>
    <w:p>
      <w:pPr>
        <w:pStyle w:val="BodyText"/>
      </w:pPr>
      <w:r>
        <w:t>Gaps against the requested list: a dedicated Accounts Receivable sub-ledger reconciliation (open customer invoices vs. the GL AR control account) — the generic account reconciliation can be pointed at the AR control account, but there is no purpose-built AR reconciliation view; and “purchase invoices” and “supplier invoices” are the same entity here (SupplierInvoice). This update adds the specification / status record only — no code, schema, endpoint or permission change; the built financial module is unchanged.</w:t>
      </w:r>
    </w:p>
    <w:p>
      <w:pPr>
        <w:pStyle w:val="Heading2"/>
      </w:pPr>
      <w:r>
        <w:t>Impact on this document</w:t>
      </w:r>
    </w:p>
    <w:p>
      <w:pPr>
        <w:pStyle w:val="BodyText"/>
      </w:pPr>
      <w:r>
        <w:t>Requirements — records the FR-ACC / FR-AR / FR-AP / FR-FS feature list. Almost every line is already met (chart of accounts; journals with adjusting / closing types; periods; reconciliation; recurring journals; AR notes / payments / reminders / statements / aging; the AP invoice-approval workflow / payments / notes / statements / aging / schedules; and P&amp;L / Balance Sheet / Cash Flow / SoCE / ratios / budget-vs-actual / management accounts). Outstanding: a dedicated AR sub-ledger reconciliation.</w:t>
      </w:r>
    </w:p>
    <w:p>
      <w:pPr>
        <w:pStyle w:val="Heading1"/>
      </w:pPr>
      <w:r>
        <w:t>87. Implementation Status Update 73 (1 September 2026) — Cash &amp; Bank Management Feature Section</w:t>
      </w:r>
    </w:p>
    <w:p>
      <w:pPr>
        <w:pStyle w:val="BodyText"/>
      </w:pPr>
      <w:r>
        <w:t>An administrator asked that a “Cash and Bank Management” section be recorded, covering bank account management, cash accounts, petty cash, bank deposits, bank withdrawals, transfers, bank reconciliation, cash reconciliation, payment vouchers, receipt vouchers, cash-flow forecasting and cash position reports.</w:t>
      </w:r>
    </w:p>
    <w:p>
      <w:pPr>
        <w:pStyle w:val="BodyText"/>
      </w:pPr>
      <w:r>
        <w:t>There is no dedicated Cash &amp; Bank module in MBMS yet, but several of these features are already reachable through the built General Ledger. Bank and cash accounts are General Ledger Account rows carrying an accountSubType of bank or cash, created and edited through /accounting/accounts; a bank deposit, a bank withdrawal or a bank → cash / bank → bank transfer is recorded today as a manual balanced journal entry against those accounts. Bank reconciliation and cash reconciliation are fully built — the AccountReconciliation model and /accounting/reconciliations (+ /:id/reconcile) reconcile any account's ledger balance to an external statement balance as of a date, with a variance and an open → reconciled lifecycle; pointing it at a bank or cash account is exactly bank / cash reconciliation. A group-wide cash position (cash and bank balances per company) is already exposed by the dashboard financials and the /finance/overview endpoint.</w:t>
      </w:r>
    </w:p>
    <w:p>
      <w:pPr>
        <w:pStyle w:val="BodyText"/>
      </w:pPr>
      <w:r>
        <w:t>Net-new on the backlog: a purpose-built bank / cash account register (bank name, account number, currency, branch, opening balance) rather than a bare GL account; a petty cash float / imprest with top-ups and expense drawdowns; one-step deposit, withdrawal and transfer actions that post the journal entry for you; payment vouchers and receipt vouchers as printable, approved documents; cash-flow forecasting (a forward projection from open receivables / payables and scheduled items, distinct from the historical cash-flow statement); and a dedicated cash position report by account and date. This update adds the specification / status record only — no code, schema, endpoint or permission change; the built ledger and reconciliation are unchanged.</w:t>
      </w:r>
    </w:p>
    <w:p>
      <w:pPr>
        <w:pStyle w:val="Heading2"/>
      </w:pPr>
      <w:r>
        <w:t>Impact on this document</w:t>
      </w:r>
    </w:p>
    <w:p>
      <w:pPr>
        <w:pStyle w:val="BodyText"/>
      </w:pPr>
      <w:r>
        <w:t>Requirements — new functional requirements (FR-CASH): a bank / cash account register; petty cash imprest; deposit / withdrawal / transfer transactions; bank and cash reconciliation (met); payment and receipt vouchers; cash-flow forecasting; cash position reports. Reconciliation and the group cash-position figure are already met; the rest is planned.</w:t>
      </w:r>
    </w:p>
    <w:p>
      <w:pPr>
        <w:pStyle w:val="Heading1"/>
      </w:pPr>
      <w:r>
        <w:t>88. Implementation Status Update 74 (1 September 2026) — Budget Management Feature Section</w:t>
      </w:r>
    </w:p>
    <w:p>
      <w:pPr>
        <w:pStyle w:val="BodyText"/>
      </w:pPr>
      <w:r>
        <w:t>An administrator asked that a “Budget Management” section be recorded, covering annual budgets, department budgets, project budgets, company budgets, group budgets, capital expenditure budgets, operating expenditure budgets, budget approval, budget revisions, budget versus actual, budget utilization, budget alerts and variance analysis.</w:t>
      </w:r>
    </w:p>
    <w:p>
      <w:pPr>
        <w:pStyle w:val="BodyText"/>
      </w:pPr>
      <w:r>
        <w:t>A budgeting capability is already built in the General Ledger. A Budget is one budgeted amount per Account per FinancialPeriod, set through /accounting/budgets (an upsert; every change is audited with the previous and new amount, giving a revision trail); GET /accounting/reports/budget-vs-actual lists every budgeted account for a period with its actual posted activity, the variance and the variance percentage, and that block also rides inside /accounting/reports/management-accounts. So company budgets, budget versus actual and a derived %-utilization (actual / budgeted) are live per subsidiary. Project budgets are also built — Project.budget with a budget-vs-actual-cost variance on the project summary.</w:t>
      </w:r>
    </w:p>
    <w:p>
      <w:pPr>
        <w:pStyle w:val="BodyText"/>
      </w:pPr>
      <w:r>
        <w:t>Net-new on the backlog: an annual (fiscal-year) budget as a first-class concept distinct from the per-period figure; a department dimension on the budget; a group budget that rolls up across the subsidiaries; an explicit capital-expenditure / operating-expenditure classification; a budget approval workflow (draft → approved) and versioned budget revisions (original vs revised, not just an audit trail); a dedicated budget-utilization report; budget alerts when spend crosses a threshold (this codebase has no configurable alert-rule engine yet); and a deeper variance analysis (favourable / unfavourable classification, drill-down and commentary) beyond the budget-vs-actual figure. This update adds the specification / status record only — no code, schema, endpoint or permission change; the built Budget model and budget-vs-actual report are unchanged.</w:t>
      </w:r>
    </w:p>
    <w:p>
      <w:pPr>
        <w:pStyle w:val="Heading2"/>
      </w:pPr>
      <w:r>
        <w:t>Impact on this document</w:t>
      </w:r>
    </w:p>
    <w:p>
      <w:pPr>
        <w:pStyle w:val="BodyText"/>
      </w:pPr>
      <w:r>
        <w:t>Requirements — new functional requirements (FR-BUD): budgets by year / department / project (met) / company (met) / group; capex vs opex; budget approval; versioned revisions; budget versus actual (met); utilization; alerts; variance analysis. Company / project budgets and budget-vs-actual are met; the rest is planned.</w:t>
      </w:r>
    </w:p>
    <w:p>
      <w:pPr>
        <w:pStyle w:val="Heading1"/>
      </w:pPr>
      <w:r>
        <w:t>89. Implementation Status Update 75 (1 September 2026) — Sales Management Feature Section</w:t>
      </w:r>
    </w:p>
    <w:p>
      <w:pPr>
        <w:pStyle w:val="BodyText"/>
      </w:pPr>
      <w:r>
        <w:t>An administrator asked that a “Sales Management” section be recorded, covering Customer Management (customer registration, profiles, contacts, categories, credit limits, payment terms, history, statements), Sales (quotations, sales orders, delivery notes, invoices, receipts, credit notes, sales returns, discounts, promotions, sales commissions, sales targets, sales performance) and CRM (leads, opportunities, follow-ups, customer interactions, calls, emails, meetings, sales pipeline, customer complaints, customer feedback).</w:t>
      </w:r>
    </w:p>
    <w:p>
      <w:pPr>
        <w:pStyle w:val="BodyText"/>
      </w:pPr>
      <w:r>
        <w:t>Customer Management and the core of Sales are already built. The Customer model carries name, category, contact email / phone, address, credit limit, payment-terms days and status; customers are registered by staff (POST /customers) or self-register in the storefront (with a Google-linked option), edited via PATCH /customers/:id, filtered by category, and each has a statement (GET /customers/:id/statement, plus /ar/statement and the storefront statement + PDF) and an order / invoice / payment history. On the Sales side: Order with a placed → confirmed → packed → out_for_delivery → delivered status machine (/sales/orders, sales.order.manage); an Invoice per order; CustomerCreditNote (/ar/credit-notes); admin-managed discount codes and promotional banners consumed by the storefront; and the Delivery module tracks the physical delivery with proof of delivery. Support tickets (SupportTicket, open → resolved, with categories and priority) are the customer-complaint and feedback channel today.</w:t>
      </w:r>
    </w:p>
    <w:p>
      <w:pPr>
        <w:pStyle w:val="BodyText"/>
      </w:pPr>
      <w:r>
        <w:t>Net-new on the backlog: quotations; a printed delivery note and a printed receipt document; a sales-return / RMA model (a return is only a credit note today); sales commissions (also a Payroll backlog item), sales targets and a sales-performance dashboard (the “Sales Performance” tile is deliberately deferred); a multi-contact list per customer and a credit-limit check enforced at order time (the limit is stored but not enforced); and the whole CRM — leads, opportunities, follow-ups, an activity / interaction log for calls, emails and meetings, a sales pipeline, and structured customer feedback — none of which exists as a module. This update adds the specification / status record only — no code, schema, endpoint or permission change.</w:t>
      </w:r>
    </w:p>
    <w:p>
      <w:pPr>
        <w:pStyle w:val="Heading2"/>
      </w:pPr>
      <w:r>
        <w:t>Impact on this document</w:t>
      </w:r>
    </w:p>
    <w:p>
      <w:pPr>
        <w:pStyle w:val="BodyText"/>
      </w:pPr>
      <w:r>
        <w:t>Requirements — new functional requirements (FR-SALES / FR-CRM). Met: customer registration / profile / category / statement / history, sales orders, invoices, credit notes, discounts, promotions. Planned: quotations, delivery-note &amp; receipt documents, sales returns, multi-contact, credit-limit enforcement, commissions, targets, sales performance, and the CRM set (leads, opportunities, follow-ups, interactions, calls, emails, meetings, pipeline, complaints, feedback — support tickets partly cover complaints / feedback / interactions).</w:t>
      </w:r>
    </w:p>
    <w:p>
      <w:pPr>
        <w:pStyle w:val="Heading1"/>
      </w:pPr>
      <w:r>
        <w:t>90. Implementation Status Update 76 (1 September 2026) — Procurement &amp; Purchasing Feature Section</w:t>
      </w:r>
    </w:p>
    <w:p>
      <w:pPr>
        <w:pStyle w:val="BodyText"/>
      </w:pPr>
      <w:r>
        <w:t>An administrator asked that a “Procurement and Purchasing” section be recorded, covering purchase requisitions, purchase orders, supplier quotations, requests for quotations, supplier comparison, purchase approvals, goods received notes, supplier invoices, purchase returns, procurement budgets and procurement reports, together with the end-to-end procurement workflow: Employee / Department Request → Department Approval → Procurement → Supplier Quotations → Evaluation → Management Approval → Purchase Order → Delivery → Inspection → Invoice → Payment.</w:t>
      </w:r>
    </w:p>
    <w:p>
      <w:pPr>
        <w:pStyle w:val="BodyText"/>
      </w:pPr>
      <w:r>
        <w:t>There is no dedicated Procurement module in MBMS — it has been a deliberately deferred Phase-2 area since the discovery pass — but the tail of the workflow and the supplier master are built. Suppliers are a first-class record (Supplier, /suppliers CRUD with blacklist / unblacklist and a sensitive-fields grant). On the payables side, a SupplierInvoice moves draft → pending_approval → approved → paid via /ap/invoices/:id/submit-for-approval and /approve (ap.approve, and approving it posts the balanced journal entry), plus supplier payments, supplier credit notes, an AP aging report, a supplier statement and a payment schedule. So supplier invoices are fully built, invoice approval is built, a purchase return is recorded today as a supplier credit note, and a procurement budget is a Budget line on the relevant expense or asset account with budget-vs-actual. The end-to-end procurement workflow is already documented in 05_Business Process Document (Section 6.5); only its Invoice → Payment tail is implemented.</w:t>
      </w:r>
    </w:p>
    <w:p>
      <w:pPr>
        <w:pStyle w:val="BodyText"/>
      </w:pPr>
      <w:r>
        <w:t>Net-new on the backlog: a Purchase Requisition with a department-approval step; a Request for Quotation sent to multiple suppliers; Supplier Quotations with a side-by-side comparison and an evaluation / award step; a Purchase Order with a management-approval chain; a Goods Received Note and an inspection step at delivery (no inbound-goods or inventory model exists); a Purchase Return / debit-note flow distinct from a supplier credit note; a three-way match (PO → GRN → invoice); and procurement-specific budgets and reports (spend by supplier / category, PO and requisition status, commitment vs. actual). This update adds the specification / status record only — no code, schema, endpoint or permission change; the supplier master and Accounts Payable are unchanged.</w:t>
      </w:r>
    </w:p>
    <w:p>
      <w:pPr>
        <w:pStyle w:val="Heading2"/>
      </w:pPr>
      <w:r>
        <w:t>Impact on this document</w:t>
      </w:r>
    </w:p>
    <w:p>
      <w:pPr>
        <w:pStyle w:val="BodyText"/>
      </w:pPr>
      <w:r>
        <w:t>Requirements %s new functional requirements (FR-PROC). Met: supplier master, supplier invoices, invoice approval. Planned: purchase requisitions, purchase orders, RFQ, supplier quotations, supplier comparison, PO approvals, goods received notes, purchase returns, procurement budgets (a plain Budget line today), procurement reports; and the workflow Employee / Department Request → Department Approval → Procurement → Supplier Quotations → Evaluation → Management Approval → Purchase Order → Delivery → Inspection → Invoice → Payment (only Invoice → Payment implemented).</w:t>
      </w:r>
    </w:p>
    <w:p>
      <w:pPr>
        <w:pStyle w:val="Heading1"/>
      </w:pPr>
      <w:r>
        <w:t>91. Implementation Status Update 77 (1 September 2026) — Supplier Management Feature Section</w:t>
      </w:r>
    </w:p>
    <w:p>
      <w:pPr>
        <w:pStyle w:val="BodyText"/>
      </w:pPr>
      <w:r>
        <w:t>An administrator asked that a “Supplier Management” section be recorded, covering supplier registration, supplier profiles, supplier categories, supplier contacts, supplier contracts, supplier documents, tax information, bank details, supplier evaluation, supplier performance, supplier payment history, supplier statements and supplier blacklist / suspension.</w:t>
      </w:r>
    </w:p>
    <w:p>
      <w:pPr>
        <w:pStyle w:val="BodyText"/>
      </w:pPr>
      <w:r>
        <w:t>The supplier master is already built. A Supplier is a first-class record (name, category, contact email / phone, address, tax id, a contract reference and expiry date, bank name and bank account number, and a status of active / inactive / blacklisted), registered via POST /suppliers (supplier.manage, audited), edited via PATCH /suppliers/:id, listed and filtered by category, and blacklisted / un-blacklisted through POST /suppliers/:id/blacklist and /unblacklist. Tax information and bank details are held on the record, with the bank account number masked unless the caller holds supplier.view.sensitive. Supplier payment history and supplier statements are built on the payables side — GET /api/v1/ap/statement returns a chronological invoice / payment / credit-note ledger with a running balance for a given supplier. So of the requested list, registration, profiles, categories, tax information, bank details, payment history, statements and blacklist are live.</w:t>
      </w:r>
    </w:p>
    <w:p>
      <w:pPr>
        <w:pStyle w:val="BodyText"/>
      </w:pPr>
      <w:r>
        <w:t>Gaps against the requested list: a multi-contact list per supplier (only one email / phone today); supplier contracts and supplier documents as uploaded, versioned files with a lifecycle (today only a text contract reference and expiry date — the same deferred object-storage gap this project has carried for company logos and employee documents); a dedicated time-bound suspension distinct from blacklist and the inactive status; and supplier evaluation and supplier performance — a scorecard for on-time delivery, quality and price, and a rating history — neither of which is modelled. This update adds the specification / status record only — no code, schema, endpoint or permission change; the supplier master is unchanged.</w:t>
      </w:r>
    </w:p>
    <w:p>
      <w:pPr>
        <w:pStyle w:val="Heading2"/>
      </w:pPr>
      <w:r>
        <w:t>Impact on this document</w:t>
      </w:r>
    </w:p>
    <w:p>
      <w:pPr>
        <w:pStyle w:val="BodyText"/>
      </w:pPr>
      <w:r>
        <w:t>Requirements — new functional requirements (FR-SUPP). Met: registration, profile, category, tax id, bank details, statement / payment history, blacklist. Planned: multi-contact, contract &amp; document files, time-bound suspension, supplier evaluation, supplier performance.</w:t>
      </w:r>
    </w:p>
    <w:p>
      <w:pPr>
        <w:pStyle w:val="Heading1"/>
      </w:pPr>
      <w:r>
        <w:t>92. Implementation Status Update 78 (1 September 2026) — Supplier Management: Contacts, Suspension &amp; Evaluation</w:t>
      </w:r>
    </w:p>
    <w:p>
      <w:pPr>
        <w:pStyle w:val="BodyText"/>
      </w:pPr>
      <w:r>
        <w:t>An administrator asked to implement the Supplier Management backlog recorded in the previous update — specifically a multi-contact list per supplier, a time-bound suspension distinct from blacklist, and supplier evaluation and performance. This has now shipped as code.</w:t>
      </w:r>
    </w:p>
    <w:p>
      <w:pPr>
        <w:pStyle w:val="BodyText"/>
      </w:pPr>
      <w:r>
        <w:t>Schema and migration 20260901130000_supplier_management add two tables and extend the supplier record. supplier_contacts holds several named people per supplier (name, title, email, phone, an is_primary flag and a free-text note); the service keeps at most one primary contact, demoting any previous primary when a new one is set. supplier_evaluations is a periodic scorecard: a period label, five criterion scores from 1 to 5 (on-time delivery, goods / service quality, price competitiveness, communication / responsiveness and documentation / terms compliance), an overall score that is their average, optional comments and the evaluating user. The SupplierStatus enum gains a suspended value, and suppliers gains suspension_reason and suspended_until columns.</w:t>
      </w:r>
    </w:p>
    <w:p>
      <w:pPr>
        <w:pStyle w:val="BodyText"/>
      </w:pPr>
      <w:r>
        <w:t>New endpoints sit under the existing supplier.manage / supplier.viewAll permissions (supplier.view.sensitive still governs unmasked bank / tax fields — no new permission was added). GET / POST /api/v1/suppliers/:id/contacts and PATCH / DELETE /api/v1/suppliers/:id/contacts/:contactId manage the contact list. POST /api/v1/suppliers/:id/suspend takes a reason and an optional auto-lift date and sets the status to suspended; POST /api/v1/suppliers/:id/unsuspend clears it. It refuses to suspend a blacklisted supplier (409) - un-blacklist first - and a suspension whose suspended_until date has passed lifts itself automatically the next time the record is read. GET / POST /api/v1/suppliers/:id/evaluations and DELETE /api/v1/suppliers/:id/evaluations/:evaluationId manage scorecards. GET /api/v1/suppliers/:id/performance returns a derived summary: evaluation count, overall average, a rating band (Excellent / Good / Fair / Poor), a trend against the previous scorecard (improving / declining / flat), per-criterion averages, and accounts-payable figures for the supplier (invoice count, paid and overdue counts, total invoiced, total paid and outstanding). There is no performance table - it is computed on request from the evaluations plus the supplier's AP invoice history.</w:t>
      </w:r>
    </w:p>
    <w:p>
      <w:pPr>
        <w:pStyle w:val="BodyText"/>
      </w:pPr>
      <w:r>
        <w:t>Every mutation is audited (supplier.contact.created / updated / deleted, supplier.evaluation.created / deleted, and supplier.record.updated for suspend / unsuspend), with bank and tax values kept out of event payloads as before. All routes are company-scoped exactly like the existing GET /suppliers/:id. The admin Suppliers screen now opens a supplier detail dialog from the supplier name with Contacts, Evaluations and Performance tabs and a Suspend / Lift-suspension control; add-contact, new-evaluation (1-5 sliders with a live overall) and suspend (reason + auto-lift date) dialogs are included, and the list shows a suspended badge with the lift date. Seed data adds three contacts and two quarterly scorecards (Q1 and Q2 2026) for AgroChem Uganda Ltd so the screen and the performance summary are populated on a fresh database.</w:t>
      </w:r>
    </w:p>
    <w:p>
      <w:pPr>
        <w:pStyle w:val="BodyText"/>
      </w:pPr>
      <w:r>
        <w:t>Still on the backlog: supplier contracts and supplier documents as uploaded, versioned files — the same deferred object-storage gap this project carries for company logos and employee documents. Verified end to end: seeded contacts and evaluations read back; adding a primary contact demotes the previous one; suspend then unsuspend; a new scorecard moves the performance average and trend; suspend on a blacklisted supplier returns 409; a caller without supplier.manage gets 403 on every mutation. nest build and the admin vite build are clean.</w:t>
      </w:r>
    </w:p>
    <w:p>
      <w:pPr>
        <w:pStyle w:val="Heading2"/>
      </w:pPr>
      <w:r>
        <w:t>Impact on this document</w:t>
      </w:r>
    </w:p>
    <w:p>
      <w:pPr>
        <w:pStyle w:val="BodyText"/>
      </w:pPr>
      <w:r>
        <w:t>Requirements — FR-SUPP additions met this pass: multi-contact list (FR-SUPP contacts), time-bound suspension distinct from blacklist, supplier evaluation scorecard, supplier performance summary. Still planned: contract and document files.</w:t>
      </w:r>
    </w:p>
    <w:p>
      <w:pPr>
        <w:pStyle w:val="Heading1"/>
      </w:pPr>
      <w:r>
        <w:t>93. Implementation Status Update 79 (1 September 2026) — Inventory Management: Warehouses, Transfers, Batch / Serial Tracking &amp; Reports</w:t>
      </w:r>
    </w:p>
    <w:p>
      <w:pPr>
        <w:pStyle w:val="BodyText"/>
      </w:pPr>
      <w:r>
        <w:t>An administrator asked to add and implement an “Inventory Management” section covering product registration, categories, codes, barcodes and units of measure; stock locations and warehouses; stock receipts, issues, transfers, adjustments, returns and counts; stock valuation; re-order / minimum / maximum stock levels; expiry-date, batch and serial-number tracking; and inventory reports (stock balance, stock movement, fast- / slow-moving, dead stock, valuation, shortage, surplus). Product registration / categories / codes / barcodes / units of measure were already built in the Product service, and a company-level Inventory section (stock-on-hand, a re-order point, receipt / issue / count adjustments and an immutable movement ledger) shipped on 28 August 2026. This pass builds the rest.</w:t>
      </w:r>
    </w:p>
    <w:p>
      <w:pPr>
        <w:pStyle w:val="BodyText"/>
      </w:pPr>
      <w:r>
        <w:t>Migration 20260901140000_inventory_management adds warehouses (one company may have several stock sites; each has a code, a name, an optional Branch link and an active flag, with exactly one marked the default), stock_locations (bins / aisles / racks within a warehouse, descriptive in this phase), stock_balances (on-hand of one product in one warehouse; the sum over a product’s rows equals Product.stockQuantity, the company roll-up the storefront and Orders still read), stock_batches (a batch number and an optional expiry date per batch-tracked product) and stock_serials (one row per serial-numbered unit, status in_stock / issued / returned / scrapped). Product gains min_stock_level, max_stock_level, track_batches and track_serials; StockMovement gains warehouse_id, counterparty_warehouse_id and batch_number; the StockMovementType enum gains adjustment, transfer_out, transfer_in and return. The MAIN-warehouse creation and the balance backfill from the existing roll-up run in prisma/seed.ts (and lazily in the service), keeping the migration DDL-only per this project’s convention.</w:t>
      </w:r>
    </w:p>
    <w:p>
      <w:pPr>
        <w:pStyle w:val="BodyText"/>
      </w:pPr>
      <w:r>
        <w:t>New endpoints sit under /api/v1/inventory, reads scoped per BR-01 like the product list and writes gated by product.manage — the same permission the existing section uses, so no new permission was added. Warehouses: GET / POST /inventory/warehouses, PATCH /inventory/warehouses/:id, GET / POST /inventory/warehouses/:id/locations, PATCH /inventory/locations/:locationId. Stock moves: POST /inventory/adjustments now takes an optional warehouseId (defaulting to MAIN) plus an optional batch number / expiry date on a receipt and an optional serial-number list on a receipt or issue; POST /inventory/transfers moves quantity between two warehouses of the same company as a paired transfer_out / transfer_in (the roll-up is unchanged); POST /inventory/returns books goods back into a warehouse. GET /inventory/balances lists a product’s per-warehouse rows; PUT /inventory/products/:id/stock-levels sets the re-order point, minimum and maximum together with the batch / serial flags (the older /reorder-point route is kept). GET /inventory/batches and GET /inventory/serials list the tracking rows.</w:t>
      </w:r>
    </w:p>
    <w:p>
      <w:pPr>
        <w:pStyle w:val="BodyText"/>
      </w:pPr>
      <w:r>
        <w:t>Eight reports are exposed at GET /inventory/reports/*: stock-balance (per product, with a per-warehouse breakdown), stock-movement (a date-ranged ledger), movement-analysis (fast-moving, slow-moving and dead-stock buckets from issue volume over a window), valuation (quantity × unit price, per warehouse and total), shortage (on-hand below the minimum, or below the re-order point where no minimum is set), surplus (on-hand above the maximum) and expiring (batches already expired or within N days of expiry). Every mutation is audited (inventory.warehouse.*, inventory.location.*, inventory.stock.adjusted / transferred / returned, inventory.stock_levels.updated). The admin Inventory screen gains Warehouses and Reports tabs, a warehouse filter and min / max columns on the stock list, Transfer / Return / Levels actions per row, a warehouse selector plus batch and serial fields on the adjust dialog, and a date range on the movement ledger. Seed data adds a MAIN warehouse for every company that holds stock, a second Agro warehouse (Kira Dispatch Store) with two locations, minimum / maximum levels on five products, a batch-tracked herbicide with two batches (one near expiry), a serial-tracked pallet with three units, and a demo MAIN → Kira transfer.</w:t>
      </w:r>
    </w:p>
    <w:p>
      <w:pPr>
        <w:pStyle w:val="BodyText"/>
      </w:pPr>
      <w:r>
        <w:t>Every requested feature now maps to something running: product registration / categories / codes / barcodes / units of measure (Product service), stock locations and warehouses, receipts / issues / transfers / adjustments / returns / counts, stock valuation, re-order / minimum / maximum levels, expiry-date / batch / serial tracking, and all eight named reports. Verified end to end: warehouses created per company; a transfer leaves the roll-up unchanged while both warehouse balances move; over-issue and over-transfer return 409; the shortage / surplus / expiring reports pick up the seeded thresholds and batches; a serial receipt then issue flips the unit status; a caller without product.manage gets 403 on every write. nest build, admin vite build and the OpenAPI regeneration are clean.</w:t>
      </w:r>
    </w:p>
    <w:p>
      <w:pPr>
        <w:pStyle w:val="Heading2"/>
      </w:pPr>
      <w:r>
        <w:t>Impact on this document</w:t>
      </w:r>
    </w:p>
    <w:p>
      <w:pPr>
        <w:pStyle w:val="BodyText"/>
      </w:pPr>
      <w:r>
        <w:t>Requirements — FR-INV additions met this pass: stock locations, warehouses, stock transfers, stock returns, stock valuation, minimum / maximum stock levels, expiry-date tracking, batch tracking, serial-number tracking, and the eight inventory reports. Product registration / categories / codes / barcodes / units of measure and stock receipts / issues / adjustments / counts were already met.</w:t>
      </w:r>
    </w:p>
    <w:p>
      <w:pPr>
        <w:pStyle w:val="Heading1"/>
      </w:pPr>
      <w:r>
        <w:t>94. Implementation Status Update 80 (1 September 2026) — Warehouse Management: Staff, Receiving, Picking / Packing / Dispatch &amp; Count Reconciliation</w:t>
      </w:r>
    </w:p>
    <w:p>
      <w:pPr>
        <w:pStyle w:val="BodyText"/>
      </w:pPr>
      <w:r>
        <w:t>An administrator asked to add and implement a “Warehouse Management” section covering multiple warehouses, warehouse locations, bin management, receiving, picking, packing, dispatch, stock transfers, warehouse staff management, warehouse stock counts, barcode scanning and inventory reconciliation. Multiple warehouses, warehouse locations and stock transfers were built earlier the same day in the Inventory Management pass; this pass adds the warehouse operations layer on top.</w:t>
      </w:r>
    </w:p>
    <w:p>
      <w:pPr>
        <w:pStyle w:val="BodyText"/>
      </w:pPr>
      <w:r>
        <w:t>Migration 20260901150000_warehouse_management adds warehouse_staff (an Employee assigned to a warehouse with a role of manager / supervisor / receiver / picker / packer / dispatcher), goods_receipts + goods_receipt_lines (an inbound receiving document: draft → received → cancelled; each line names a product, a quantity and an optional batch / expiry / bin), pick_lists + pick_list_lines (a fulfilment job: pending → picking → picked → packed → dispatched, optionally tied to a sales Order whose items become the lines) and stock_counts + stock_count_lines (a physical count session: open → counting → reconciled, each line snapshotting the system quantity, recording the counted quantity and the variance). Stock locations gain a functional kind (receiving / storage / picking / packing / dispatch / quarantine), so a bin has a role in the flow. All of it reuses product.manage / product.viewAll — no new permission — and the seeded Warehouse Manager role now holds product.manage so that persona can run the floor.</w:t>
      </w:r>
    </w:p>
    <w:p>
      <w:pPr>
        <w:pStyle w:val="BodyText"/>
      </w:pPr>
      <w:r>
        <w:t>New endpoints under /api/v1/inventory (reads scoped per BR-01, writes gated by product.manage): GET / POST /inventory/warehouses/:id/staff and PATCH / DELETE /inventory/warehouse-staff/:id manage staff. GET / POST /inventory/goods-receipts, GET /inventory/goods-receipts/:id, POST .../:id/receive (books a receipt stock movement per line, updating the warehouse balance, the company roll-up and any batch), POST .../:id/cancel. GET / POST /inventory/pick-lists, GET /inventory/pick-lists/:id, POST .../:id/assign, POST .../:id/pick (issues the picked quantity from the warehouse, with a 409 if stock is short), POST .../:id/pack, POST .../:id/dispatch (which also nudges a linked order to packed / out_for_delivery), POST .../:id/cancel (returning already-picked stock). GET / POST /inventory/stock-counts, GET /inventory/stock-counts/:id, POST .../:id/lines, PATCH .../:id/lines/:lineId (record a counted quantity), POST .../:id/reconcile (posts a count adjustment for every line whose count differs from the system figure and writes the variance), POST .../:id/cancel. GET /inventory/lookup?barcode= returns the matching product and its per-warehouse balances, and a goods-receipt / pick-list / stock-count line may be entered by barcode instead of product id.</w:t>
      </w:r>
    </w:p>
    <w:p>
      <w:pPr>
        <w:pStyle w:val="BodyText"/>
      </w:pPr>
      <w:r>
        <w:t>Every mutation is audited (inventory.warehouse_staff.*, inventory.goods_receipt.created / received / cancelled, inventory.pick_list.created / assigned / picked / packed / dispatched / cancelled, inventory.stock_count.created / reconciled / cancelled) and every stock effect goes through the same per-warehouse balance / roll-up / movement path the Inventory Management pass built, so on-hand stays explainable. The admin Inventory screen gains a Warehouse ops tab with Staff, Goods receipts, Pick lists and Stock counts sub-views, and the Warehouses tab’s location panel now shows and sets a bin’s kind. Seed data adds a Warehouse Manager login (William Opio, w.opio@morise-holdings.com), warehouse staff for Morise Agro Ltd’s MAIN warehouse (a manager, a picker / packer and a receiver), five functional bins (receiving / storage / packing / dispatch / quarantine), a draft goods receipt against AgroChem Uganda Ltd, a pending pick list built from a confirmed storefront order, and an open cycle-count session.</w:t>
      </w:r>
    </w:p>
    <w:p>
      <w:pPr>
        <w:pStyle w:val="BodyText"/>
      </w:pPr>
      <w:r>
        <w:t>Every requested feature now maps to something running: multiple warehouses, warehouse locations and stock transfers (Inventory Management pass), bin management (functional bins), receiving (goods receipts), picking / packing / dispatch (pick lists), warehouse staff management, warehouse stock counts and inventory reconciliation (stock counts), and barcode scanning (barcode lookup + line entry). Verified end to end: receiving a draft goods receipt raises the warehouse balance and the roll-up; a pick list runs pending → picked (stock issued) → packed → dispatched and carries a linked order to out_for_delivery; re-dispatching or re-receiving returns 409; a stock count reconciles, writing the variance and posting the count adjustment; a barcode resolves to its product; a caller without product.manage gets 403 on every write. nest build, admin vite build and the OpenAPI regeneration (317 paths / 401 operations) are clean.</w:t>
      </w:r>
    </w:p>
    <w:p>
      <w:pPr>
        <w:pStyle w:val="Heading2"/>
      </w:pPr>
      <w:r>
        <w:t>Impact on this document</w:t>
      </w:r>
    </w:p>
    <w:p>
      <w:pPr>
        <w:pStyle w:val="BodyText"/>
      </w:pPr>
      <w:r>
        <w:t>Requirements — FR-WMS additions met this pass: bin management (functional bins), receiving, picking, packing, dispatch, warehouse staff management, warehouse stock counts, inventory reconciliation, barcode scanning. Multiple warehouses, warehouse locations and stock transfers were met by the Inventory Management pass.</w:t>
      </w:r>
    </w:p>
    <w:p>
      <w:pPr>
        <w:pStyle w:val="Heading1"/>
      </w:pPr>
      <w:r>
        <w:t>95. Implementation Status Update 81 (2 September 2026) — Asset Management: Categories, Inspections, Insurance &amp; Asset History</w:t>
      </w:r>
    </w:p>
    <w:p>
      <w:pPr>
        <w:pStyle w:val="BodyText"/>
      </w:pPr>
      <w:r>
        <w:t>An administrator asked to add and implement an “Asset Management” section for every asset owned by Multi Holdings and its subsidiaries, covering asset registration, categories, asset numbers, location, custodian, purchase information, supplier information, asset value, depreciation, transfer, maintenance, disposal, inspection, insurance, documents and history (examples: vehicles, buildings, computers, machinery, furniture, equipment, land, office equipment). The Sprint-11 Asset Service already covered registration, asset numbers, location (branch), custodian, purchase date / cost, straight-line depreciation with GL posting, asset value (net book value), transfer (including cross-company), maintenance logging, and the request → approve → dispose workflow with a derecognition entry. This pass builds the rest.</w:t>
      </w:r>
    </w:p>
    <w:p>
      <w:pPr>
        <w:pStyle w:val="BodyText"/>
      </w:pPr>
      <w:r>
        <w:t>Migration 20260902120000_asset_management adds asset_categories (a first-class category with a code, a name and depreciation defaults — method, useful life in years, salvage as a percentage of cost — that a newly-registered asset inherits unless the registration overrides them); asset_inspections (a periodic condition inspection: date, inspector, a condition rating of excellent / good / fair / poor / unserviceable, findings, action required and a next-due date, distinct from the one-off inspection notes inside the disposal workflow); asset_insurance_policies (a first-class policy: insurer, policy number, cover amount, premium, term and a status of active / expired / cancelled, superseding the three inline insurer / policy-number / expiry fields, which are kept in step with the latest policy for backward compatibility); and asset_events (an append-only asset-history row written by every lifecycle action). The Asset record itself gains category_id, supplier_id (a link to the Supplier master), purchase_reference (PO / invoice number) and warranty_expiry_date.</w:t>
      </w:r>
    </w:p>
    <w:p>
      <w:pPr>
        <w:pStyle w:val="BodyText"/>
      </w:pPr>
      <w:r>
        <w:t>New endpoints sit under the existing asset.manage / asset.viewAll / asset.approve.disposal permissions — no new permission. GET / POST /assets/categories and PATCH /assets/categories/:id manage categories. GET / POST /assets/:id/inspections record and list inspections. GET / POST /assets/:id/insurance and PATCH /assets/insurance/:policyId manage insurance policies. GET /assets/:id/history returns the chronological event timeline. Four reports are exposed at GET /assets/reports/*: register (the fixed-asset register — cost, accumulated depreciation, net book value, category, custodian, location, per asset with totals), depreciation-schedule (per straight-line asset: annual charge, accumulated, NBV, years remaining), insurance-expiring (policies already expired or within N days of expiry) and inspections-due (assets whose next inspection date has passed or falls within N days). Registration also auto-generates the asset number as AST-YYYY-NNNN when one is not supplied, and inherits the category's depreciation defaults.</w:t>
      </w:r>
    </w:p>
    <w:p>
      <w:pPr>
        <w:pStyle w:val="BodyText"/>
      </w:pPr>
      <w:r>
        <w:t>Every lifecycle action — registration, record update, transfer, depreciation, maintenance, inspection, insurance add / update, and each disposal step — now writes an asset_events row, so GET /assets/:id/history is a single chronological read rather than six tables stitched together. Every mutation is also audited as before (asset.category.created / updated, asset.inspection.recorded, asset.insurance.added / updated). The admin Assets screen gains a Categories manager, and each asset opens a detail dialog with Overview, Inspections, Insurance and History tabs; the registration form gains a category picker, supplier / purchase-reference / warranty fields and an optional (auto-generated) asset number. Seed data adds eight asset categories for Morise Agro Ltd (Vehicles, Buildings, Computers, Machinery, Furniture, Equipment, Land, Office Equipment) with depreciation defaults, links the three seeded assets to a category / supplier / purchase reference, backfills their history events, and adds an inspection and a first-class insurance policy on the Toyota Hilux.</w:t>
      </w:r>
    </w:p>
    <w:p>
      <w:pPr>
        <w:pStyle w:val="BodyText"/>
      </w:pPr>
      <w:r>
        <w:t>Asset documents remain a text document_reference on the record — the same deferred object-storage gap this project carries for company logos, employee documents and supplier contracts. Verified end to end: a category's defaults flow into a new asset; the asset number auto-generates; the history timeline shows registration, inspection and insurance events in order; the register and depreciation-schedule reports total correctly; the insurance-expiring and inspections-due reports pick up the seeded policy and a new inspection; a caller without asset.manage gets 403 on every write. nest build, admin vite build and the OpenAPI regeneration (327 paths / 414 operations) are clean.</w:t>
      </w:r>
    </w:p>
    <w:p>
      <w:pPr>
        <w:pStyle w:val="Heading2"/>
      </w:pPr>
      <w:r>
        <w:t>Impact on this document</w:t>
      </w:r>
    </w:p>
    <w:p>
      <w:pPr>
        <w:pStyle w:val="BodyText"/>
      </w:pPr>
      <w:r>
        <w:t>Requirements — FR-ASSET additions met this pass: asset categories, supplier information, purchase reference, periodic asset inspection, first-class asset insurance, and asset history. Registration, numbers, location, custodian, value, depreciation, transfer, maintenance and disposal were already met.</w:t>
      </w:r>
    </w:p>
    <w:p>
      <w:pPr>
        <w:pStyle w:val="Heading1"/>
      </w:pPr>
      <w:r>
        <w:t>96. Implementation Status Update 82 (2 September 2026) — Fleet &amp; Vehicle Management Module</w:t>
      </w:r>
    </w:p>
    <w:p>
      <w:pPr>
        <w:pStyle w:val="BodyText"/>
      </w:pPr>
      <w:r>
        <w:t>An administrator asked to add and implement a “Fleet and Vehicle Management” section covering vehicle registration, vehicle ownership, driver assignment, vehicle tracking, fuel management, mileage, service schedules, repairs, insurance, inspection, licence renewal, accident records, vehicle expenses and fuel-consumption reports. This ships as a new Fleet module, a fleet register that sits on top of — and optionally links to — the Asset module (a vehicle asset already carries purchase cost, depreciation, first-class insurance policies and periodic inspections from the Asset Management pass).</w:t>
      </w:r>
    </w:p>
    <w:p>
      <w:pPr>
        <w:pStyle w:val="BodyText"/>
      </w:pPr>
      <w:r>
        <w:t>Migration 20260902130000_fleet_management adds vehicles (registration number unique per company, make / model / year / VIN / colour, fuel type, ownership type of owned / leased / financed / hired with an owner name for a lessor or financier, acquisition date, current odometer, a manual last-known-location, status of active / in_service / off_road / sold / written_off, and an optional 1:1 link to an Asset) plus eight child tables: vehicle_driver_assignments (one active per vehicle, the previous auto-ended on reassignment), vehicle_odometer_readings (the mileage history — also written from fuel and service entries), fuel_logs (date, litres, cost, odometer, station, filled-to-full flag), service_schedules (an interval in km and/or days with a computed next-due odometer and date), service_records (kind service or repair, tied optionally to a schedule which it then advances), vehicle_renewals (road licence, inspection certificate, PSV permit, insurance, road worthiness or other, with a reference, expiry date and cost), accident_records (severity, description, driver, third-party flag, estimated cost, insurance-claim and police-report references, resolved flag) and vehicle_expenses (a rolled-up log — a fuel log, a service / repair record and a paid renewal each auto-create a matching expense line, and manual lines can be added).</w:t>
      </w:r>
    </w:p>
    <w:p>
      <w:pPr>
        <w:pStyle w:val="BodyText"/>
      </w:pPr>
      <w:r>
        <w:t>A new fleet.manage / fleet.viewAll permission pair is added (domain operations) and granted the same way delivery.* was: manage + viewAll to Super Administrator, Managing Director, IT Administrator and Operations Manager; manage (own scope) to Branch Manager and the Warehouse Manager; viewAll to Group CEO, Auditor, External Auditor, Board Member and the Read-only User. Endpoints sit under /api/v1/fleet: GET / POST /fleet/vehicles, GET / PATCH /fleet/vehicles/:id, GET /fleet/vehicles/:id/summary, POST /fleet/vehicles/:id/location; GET / POST /fleet/vehicles/:id/assignments and POST /fleet/assignments/:id/end; GET / POST /fleet/vehicles/:id/odometer and .../fuel; GET / POST /fleet/vehicles/:id/service-schedules, PATCH /fleet/service-schedules/:id, GET / POST /fleet/vehicles/:id/service-records; GET / POST /fleet/vehicles/:id/renewals; GET / POST /fleet/vehicles/:id/accidents and PATCH /fleet/accidents/:id; GET / POST /fleet/vehicles/:id/expenses.</w:t>
      </w:r>
    </w:p>
    <w:p>
      <w:pPr>
        <w:pStyle w:val="BodyText"/>
      </w:pPr>
      <w:r>
        <w:t>Five reports are exposed at GET /fleet/reports/*: fleet-register (every vehicle with its key attributes and odometer), fuel-consumption (per vehicle: fills, litres, cost, distance from consecutive full-to-full fills, L/100km, km/L and cost/km, with a date range), expenses (per vehicle and per category totals with cost/km, date-ranged), renewals-due (renewals already expired or within N days of expiry) and service-due (schedules past their next-due odometer or date). GET /fleet/vehicles/:id/summary rolls these up for one vehicle — active driver, services due, next renewal, year-to-date expense by category and lifetime fuel economy. Every mutation is audited (fleet.vehicle.registered / updated, fleet.driver.assigned, fleet.fuel.logged, fleet.odometer.logged, fleet.service.recorded / repair.recorded, fleet.renewal.recorded, fleet.accident.recorded / updated, fleet.expense.recorded).</w:t>
      </w:r>
    </w:p>
    <w:p>
      <w:pPr>
        <w:pStyle w:val="BodyText"/>
      </w:pPr>
      <w:r>
        <w:t>Live GPS telematics is out of scope — “vehicle tracking” here is the odometer history plus a manual last-known-location. Vehicle inspection and insurance are covered by the linked asset’s AssetInspection / AssetInsurancePolicy records (Asset Management pass, 2 September 2026); the fleet module adds the statutory renewals a vehicle also needs. The admin app gains a new Fleet screen (nav entry under Admin / Backend, route /fleet, gated on fleet.manage / fleet.viewAll) with a vehicle register, a per-vehicle detail dialog (Summary / Drivers / Fuel / Odometer / Service / Renewals / Accidents / Expenses tabs) and a Reports tab. Seed data adds three vehicles for Morise Agro Ltd (the Toyota Hilux linked to asset AST-0001, an Isuzu FRR truck and a leased Toyota HiAce), a driver assignment, three fuel logs, a service schedule with a completed service, a repair, three renewals (one expired), an unresolved accident and the matching vehicle-expense lines. Verified end to end: fuel economy computes from full-to-full fills; a scheduled service advances the schedule’s next-due; reassigning a driver auto-ends the previous assignment; the fuel-consumption / expenses / renewals-due / service-due reports total correctly; a caller without fleet.manage gets 403 on every write while the Warehouse Manager (granted fleet.manage) can register a vehicle. nest build, admin vite build and the OpenAPI regeneration (347 paths / 444 operations) are clean.</w:t>
      </w:r>
    </w:p>
    <w:p>
      <w:pPr>
        <w:pStyle w:val="Heading2"/>
      </w:pPr>
      <w:r>
        <w:t>Impact on this document</w:t>
      </w:r>
    </w:p>
    <w:p>
      <w:pPr>
        <w:pStyle w:val="BodyText"/>
      </w:pPr>
      <w:r>
        <w:t>Requirements — new FR-FLEET requirements met: vehicle registration &amp; ownership, driver assignment, mileage / odometer history, manual location tracking, fuel management, service schedules, repairs, licence renewal, accident records, vehicle expenses and fuel-consumption reporting. Vehicle inspection and insurance are met via the linked asset.</w:t>
      </w:r>
    </w:p>
    <w:p>
      <w:pPr>
        <w:pStyle w:val="Heading1"/>
      </w:pPr>
      <w:r>
        <w:t>97. Implementation Status Update 83 (2 September 2026) — Remaining Feature Catalogue (Sections 17-57) &amp; Notifications and Alerts</w:t>
      </w:r>
    </w:p>
    <w:p>
      <w:pPr>
        <w:pStyle w:val="BodyText"/>
      </w:pPr>
      <w:r>
        <w:t>An administrator asked to add, update and implement the remaining feature specification — sections 17 through 57 of the master requirements. This is a catalogue of ~40 areas spanning Project, Contract, Legal and Document Management; Approval Workflow; Expense, Loan, Investment and Shareholding Management; Board &amp; Corporate Governance; Customer Support; Communication; Marketing; Business Intelligence &amp; Reporting; Audit Management; the System Audit Trail; Tax and Multi-Currency Management; Multi-Branch and Inter-Company Transactions; Consolidated Financial Management; role-based BI Dashboards; Notifications &amp; Alerts; Mobile Access; Security; Backup &amp; Disaster Recovery; Integrations; API Management; Configuration &amp; Administration; Search &amp; Filtering; Data Import/Export; Workflow &amp; Automation; Business Process Management; Performance &amp; KPI Management; Compliance; Exit &amp; Employee Separation; Data Protection; the recommended System Architecture; the recommended module list; the group Key Advantage; and the phased development approach. This update records the whole block against the running system and ships one implementation from it.</w:t>
      </w:r>
    </w:p>
    <w:p>
      <w:pPr>
        <w:pStyle w:val="BodyText"/>
      </w:pPr>
      <w:r>
        <w:t>Already BUILT (with running code). Project Management — src/projects (registration, manager assignment, teams, tasks, task assignment, milestones, timelines, budget, profitability, status lifecycle; project cost = its paid expenses). Expense Management — src/expenses (claims, category, receipt reference, two-step manager/finance approval, payment posting a balanced journal entry). Customer Support — src/support (SupportTicket: category, priority, open→resolved, assignment). System Audit Trail — src/common/audit + GET /audit/logs + the PermissionsGuard recording every access_denied centrally; each row carries user, company, date/time, action, entity, previous and new value. Inter-Company Transactions — src/inter-company (loan / transfer / service-charge / cost-allocation, each posting two independently balanced journal entries) plus cross-company asset transfer. Consolidated Financial Management — ?consolidated=true income statement and balance sheet, management-accounts and budget-vs-actual across a holding company. Multi-Branch — the Branch entity with BR-01 branch scoping on employees, customers, products, warehouses, vehicles and assets, plus a branch-scoped dashboard. Business Intelligence &amp; Dashboards — src/dashboard (group and subsidiary financial position, monthly revenue / expense / profit-and-loss / cash-flow charts, company performance comparison, financial and operational alerts), src/finance overview, src/hr-dashboard, and the nine financial statements at /accounting/reports/*. Security — JWT + refresh tokens, a configurable password policy (FR-AUTH-04), account lockout / unlock, session refresh, role- plus company- / branch- / department-scoped permissions, direct grant/revoke on top of roles, delegated administration, and the audit trail. API Management — a generated OpenAPI / Swagger document (openapi.json, /api/v1/docs) covering 349 paths. Configuration &amp; Administration — company-specific policies, the role and permission catalogue, financial periods, and consistent document numbering (JE-, GRN-, PICK-, AST-, CNT- …). Workflow &amp; Automation — the sales, procurement / accounts-payable, employee-lifecycle, expense and contract-expiry workflows all exist as coded state machines. Performance &amp; KPI — src/performance (review cycles, objectives / KPIs, self- and manager assessment) plus the payroll bonus and the dashboard company comparison.</w:t>
      </w:r>
    </w:p>
    <w:p>
      <w:pPr>
        <w:pStyle w:val="BodyText"/>
      </w:pPr>
      <w:r>
        <w:t>PARTIAL (thin, or delivered through another entity). Contract Management — only a text contract reference and expiry date on the Supplier record, now surfaced in the alert feed; no first-class Contract entity for customer / employee / service / lease / partnership agreements, no renewal-reminder configuration, no contract documents / approvals / history. Investment Management and Shareholding Management — the holding structure is modelled (Company parent / subsidiary, relationship type subsidiary / associate, ownership percentage) but there is no Investment or Shareholder register, valuation, dividend or share-transfer handling. Tax Management — Uganda PAYE and NSSF are computed in payroll and VAT is carried on orders and invoices, but there is no tax-configuration module, no withholding tax, tax returns or reconciliation. Multi-Currency — a currency code is stored on orders, invoices and payables, but there is no exchange-rate table, conversion, FX gain/loss or multi-currency reporting. Approval Workflow — concrete approvals are built (expense two-step, AP invoice submit→approve, asset disposal request→approve→execute, leave) and are now aggregated as pending-approval alerts, but there is no configuration engine keyed by amount / department / branch / role. Communication and Marketing — an in-process notification service, the storefront newsletter and admin-managed FAQ / social links, discount codes, promo banners and CMS content pages exist; internal messaging, real email / SMS / push transport, and marketing campaigns / segmentation / leads / ROI do not. Search &amp; Filtering — every list endpoint takes filter[…] parameters, but there is no single global-search endpoint. Data Import / Export — reports export to CSV and PDF; there is no bulk Excel / CSV import. Mobile Access — both React apps use responsive layout, but there is no dedicated mobile client and some dense admin screens assume a desktop. Compliance and Data Protection — the expiry alerts, RBAC and scope access restrictions and masked sensitive fields are in place; a compliance register, checklists, field-level encryption at rest and a data-retention policy are not.</w:t>
      </w:r>
    </w:p>
    <w:p>
      <w:pPr>
        <w:pStyle w:val="BodyText"/>
      </w:pPr>
      <w:r>
        <w:t>PLANNED (no code yet). Legal Management — no legal-case, litigation, lawyer, permit / licence register or legal-deadline entities. Document Management — the project-wide object-storage gap: every “documents” feature (company logos, employee documents, supplier contracts, asset documents, project documents) is a text reference, not an upload / version / preview / signature store; there is no Document entity, versioning, digital signatures or a document-specific audit trail. Loan &amp; Financing Management — only the short-term SalaryAdvance (auto-recovered from payroll) exists; there is no loan facility, applications, repayment schedules, interest calculation or loan statements. Board &amp; Corporate Governance — no board-member, meeting, agenda, minutes, resolution, committee or voting entities. Audit Management — the audit TRAIL is built; audit MANAGEMENT (audit planning, internal / external audit engagements, findings, corrective actions, follow-ups) is not. Backup &amp; Disaster Recovery — only the Docker Postgres volume; no scheduled / cloud backup, replication, restore tooling or backup verification. Integration Features — none of the external integrations (banks, mobile money, payment gateways, real email / SMS gateways, tax systems, biometric devices, GPS / fleet telematics, cloud storage) are built; Google login and the Kafka event bus are seams only. Business Process Management — no workflow designer or configurable approval-level engine. Exit &amp; Employee Separation — an employment end date and status exist, but there is no resignation / termination / retirement workflow, exit interview, clearance checklist, final-pay or benefits calculation, or certificate generation.</w:t>
      </w:r>
    </w:p>
    <w:p>
      <w:pPr>
        <w:pStyle w:val="BodyText"/>
      </w:pPr>
      <w:r>
        <w:t>System Architecture (section 54) and phasing (section 57). The running stack already matches the recommendation's core — Node.js LTS, NestJS, Fastify, PostgreSQL, Redis, Prisma, REST / OpenAPI, JWT with refresh tokens, class-validator, Docker. The distributed pieces (a microservices split, Kafka event streaming, Jaeger / EFK tracing, Prometheus / Grafana, Ansible, Certbot, iRedMail, Zulip / Slack) are explicitly deferred: this proof-of-concept is a single modular NestJS service with the Kafka consumer seam stubbed (AuditService is called directly and synchronously), exactly as 07_System Design Document records. Against the phased approach: Phase 1 (Core) is complete; Phase 2 (Business Operations — sales, procurement, inventory, warehouse, expenses, assets, projects) is complete; Phase 3 (Advanced Finance — payroll incl. salary structures, budgeting, banking through the GL, inter-company, consolidated accounting) is largely complete, with loans, investments and a tax module the gaps; Phase 4 (Enterprise Management — HR is deep, CRM = the customer master plus support, BI is substantial) is partial, with contracts, legal, compliance, board management and document management outstanding; Phase 5 (Integration &amp; Security — the UI is responsive, OpenAPI is generated) is minimal, with API keys, integrations, 2FA, automated backup and disaster recovery all outstanding.</w:t>
      </w:r>
    </w:p>
    <w:p>
      <w:pPr>
        <w:pStyle w:val="BodyText"/>
      </w:pPr>
      <w:r>
        <w:t>IMPLEMENTED THIS PASS — Notifications &amp; Alerts (section 39). A new src/alerts module exposes GET /api/v1/alerts and GET /api/v1/alerts/summary: a single cross-module feed, derived at request time (no schema, no new permission, read-only) from eleven sources — accounts-receivable invoices overdue, accounts-payable invoices overdue, pending approvals (expense claims at the manager and finance step, supplier invoices, asset disposals and leave requests, as grouped counts), supplier contracts expiring or expired, vehicle statutory renewals due or expired, vehicle service schedules due (by date or by odometer), asset insurance policies expiring, asset inspections due, products below their minimum or reorder point (or out of stock), stock batches expiring, and projects nearing or past their planned end date. Each alert carries a severity (critical = already overdue / expired, warning = within the window, info), a category, the owning company, a title, a detail line, the linked entity, a date and an amount where relevant. The feed is filtered to the caller's company scope per BR-01 unless they hold organization.company.viewAll, takes a days window (default 30, up to 365), and accepts category and severity filters; /summary returns counts by severity and by category with an overdue-versus-upcoming split. The admin app gains an Alerts screen (navigation under Admin / Backend, route /alerts) with a severity KPI row, clickable category chips and a filterable table. Verified end to end against the seeded data (17 alerts across 8 categories, correctly ranked and scope-filtered); nest build and admin vite build clean; openapi.json regenerated (347 → 349 paths, 446 operations).</w:t>
      </w:r>
    </w:p>
    <w:p>
      <w:pPr>
        <w:pStyle w:val="Heading2"/>
      </w:pPr>
      <w:r>
        <w:t>Impact on this document</w:t>
      </w:r>
    </w:p>
    <w:p>
      <w:pPr>
        <w:pStyle w:val="BodyText"/>
      </w:pPr>
      <w:r>
        <w:t>Requirements — each section maps to FR groups already scoped or newly recorded. Met in full or in part: FR-PROJ, FR-EXP, FR-SUP(port), FR-AUDIT, FR-IC, FR-CONS, FR-BRANCH, FR-DASH, FR-AUTH/SEC, FR-API. Newly met: FR-ALERT (the alert feed). Recorded as planned: FR-LEGAL, FR-DOC, FR-LOAN, FR-BOARD, FR-AUDITMGT, FR-BACKUP, FR-INTEG, FR-BPM, FR-EXIT.</w:t>
      </w:r>
    </w:p>
    <w:p>
      <w:pPr>
        <w:pStyle w:val="Heading1"/>
      </w:pPr>
      <w:r>
        <w:t>98. Implementation Status Update 84 (2 September 2026) — Final System Objective &amp; the Executive Answer Layer</w:t>
      </w:r>
    </w:p>
    <w:p>
      <w:pPr>
        <w:pStyle w:val="BodyText"/>
      </w:pPr>
      <w:r>
        <w:t>An administrator asked to add, update and implement the Final System Objective — the closing statement of the master specification. It states that the finished Morise Holdings Limited system should be a single centralized platform for managing the entire group while keeping proper separation between companies, branches, departments and users, and that it should let management answer a fixed set of seventeen questions: how much money the group has; which subsidiary makes the most profit; which is underperforming; how much each company owes suppliers; how much customers owe the group; what assets each company owns; how many employees the group has; how much is spent on salaries; which projects are profitable; which contracts are about to expire; which vehicles require servicing; which stock items are running low; which payments require approval; how much each department has spent; how group investments are performing; what the current liabilities are; and what the consolidated financial position of the entire group is. The resulting platform is characterised as an ERP + HRM + CRM + Accounting + Inventory + Procurement + Project Management + Asset Management + Corporate Governance system structured specifically for Morise Holdings Limited.</w:t>
      </w:r>
    </w:p>
    <w:p>
      <w:pPr>
        <w:pStyle w:val="BodyText"/>
      </w:pPr>
      <w:r>
        <w:t>The separation model the objective demands is already the spine of the build: BR-01 company / branch / department scoping enforced server-side across every module, a role and permission catalogue with direct grant / revoke and delegated administration, and the group → subsidiary → branch hierarchy in the Organization service, so a Group role sees consolidated information while a subsidiary-scoped user sees only their own company (the “centralized group management with controlled subsidiary independence” of section 56). The module coverage the objective names is substantially in place: Accounting and Finance (chart of accounts, journals, periods, AR, AP, nine financial statements, consolidated variants), HR and Payroll, CRM (the customer master plus support), Inventory and Warehouse operations, Procurement’s supplier and accounts-payable tail, Project Management, Asset Management, Fleet, and the group dashboards.</w:t>
      </w:r>
    </w:p>
    <w:p>
      <w:pPr>
        <w:pStyle w:val="BodyText"/>
      </w:pPr>
      <w:r>
        <w:t>IMPLEMENTED THIS PASS — the executive answer layer. A new src/executive module exposes GET /api/v1/executive/questions and GET /api/v1/executive/overview. /questions returns the seventeen questions each with a plain-language answer computed from live data, a numeric value, a unit (money / count), a status (answered / partial / planned) and, where useful, a per-company or per-item breakdown. /overview returns the same figures as a compact key-value summary for a dashboard tile. Both are filtered to the caller’s company scope per BR-01: a user holding organization.company.viewAll gets the whole group; a subsidiary-scoped user gets only their companies, and the answers (net profit, cash, receivables, payables, headcount, salary bill, liabilities, consolidated position) recompute for that narrower set. The answers draw on the existing DashboardService financials (per-company assets, liabilities, cash, receivables, payables, revenue, expense, net profit and their group totals) plus direct queries for asset net book value, active headcount and the monthly gross-salary bill, project profitability (recorded revenue less attributed paid expenses), supplier contracts expiring within 60 days, vehicle service schedules due by date or odometer, products below their minimum or reorder point, pending approvals (expense claims at the manager and finance step plus supplier invoices), and paid expenses grouped by department. Two answers are marked partial — “which contracts are about to expire?” covers only supplier contracts today, and “how much has each department spent?” counts only paid expenses — and one is marked planned — “how are group investments performing?”, pending a first-class Investment register.</w:t>
      </w:r>
    </w:p>
    <w:p>
      <w:pPr>
        <w:pStyle w:val="BodyText"/>
      </w:pPr>
      <w:r>
        <w:t>Read-only; no schema change; no new permission. The admin app gains an Executive Q&amp;A screen (navigation under the Financial &amp; Accounting category, route /executive) with a six-tile key-figure strip and one card per question, each showing its status, its plain-language answer, its headline value and an expandable breakdown table. Verified end to end: the Managing Director sees all seventeen answers for the whole group; a subsidiary-scoped Branch Manager sees the same seventeen recomputed for their one company (headcount, net profit and the top-subsidiary line all narrow correctly). nest build and admin vite build clean; openapi.json regenerated (349 → 351 paths, 448 operations). This completes the documentation pass over the master specification: sections 1-16 were built across Sprints 1-16 and Updates 26-69, sections 17-57 were catalogued in Update 83 with the Notifications &amp; Alerts feed shipped, and the Final System Objective is answered here.</w:t>
      </w:r>
    </w:p>
    <w:p>
      <w:pPr>
        <w:pStyle w:val="Heading2"/>
      </w:pPr>
      <w:r>
        <w:t>Impact on this document</w:t>
      </w:r>
    </w:p>
    <w:p>
      <w:pPr>
        <w:pStyle w:val="BodyText"/>
      </w:pPr>
      <w:r>
        <w:t>Requirements — the objective's seventeen questions map to functional coverage: answered from the Accounting / Finance / AR / AP / Dashboard, Employee / Payroll, Project, Asset, Fleet, Inventory and Approval modules; partial for cross-entity contracts and full department spend; planned for the Investment register.</w:t>
      </w:r>
    </w:p>
    <w:p>
      <w:pPr>
        <w:pStyle w:val="Heading1"/>
      </w:pPr>
      <w:r>
        <w:t>99. Implementation Status Update 85 (2 September 2026) — Payroll Payslips Visible to Staff on Approval</w:t>
      </w:r>
    </w:p>
    <w:p>
      <w:pPr>
        <w:pStyle w:val="BodyText"/>
      </w:pPr>
      <w:r>
        <w:t>An administrator asked that, once a payroll run is approved for a company, that company's staff and members be able to view their own payslip in the My Payslips section of My HR in the admin application — without waiting for the run to be paid. Until now a payslip only appeared to its owner after the payroll run had been marked paid; between approval and payment the employee could see nothing, even though the run's figures were already final.</w:t>
      </w:r>
    </w:p>
    <w:p>
      <w:pPr>
        <w:pStyle w:val="BodyText"/>
      </w:pPr>
      <w:r>
        <w:t>My HR is the employee self-service area of the admin app: every screen is scoped to the signed-in user through the Employee.userId link, so a person sees only their own attendance, leave, shifts, performance, payslips and salary advances. My Payslips is backed by GET /api/v1/my-hr/payslips, which returned the caller's payslip rows whose payroll run had reached status paid — each with the period, the pay date, gross pay, PAYE, NSSF (employee and employer), salary-advance recovery, other deductions, net pay and the earnings breakdown.</w:t>
      </w:r>
    </w:p>
    <w:p>
      <w:pPr>
        <w:pStyle w:val="BodyText"/>
      </w:pPr>
      <w:r>
        <w:t>IMPLEMENTED THIS PASS. GET /api/v1/my-hr/payslips now returns a payslip as soon as its payroll run is approved: the run-status filter widened from paid to approved-or-paid, and each row now also carries the run status (approved or paid) and the approvedAt date alongside paidAt. Draft and cancelled runs stay invisible, and the per-employee scoping is unchanged — a staff member still sees only their own payslip. POST /api/v1/payroll/runs/:id/approve now notifies every run member who has a login, the same way the pay step already did: each linked employee gets a “Your payslip for &lt;month&gt; &lt;year&gt; is ready to view” notification pointing at My HR → My Payslips, and the payment-time notification was reworded to “Your &lt;month&gt; &lt;year&gt; pay has been released.”</w:t>
      </w:r>
    </w:p>
    <w:p>
      <w:pPr>
        <w:pStyle w:val="BodyText"/>
      </w:pPr>
      <w:r>
        <w:t>The My Payslips screen (mbms/frontend/src/pages/MyHr.jsx) gains a Status column — an amber “Approved · awaiting payment” badge until the run is paid, then a green “Paid · &lt;date&gt;” badge — and the same status line in the payslip detail dialog; the empty-state text now reads “… once a payroll run that includes you has been approved.” Read-only widening of an existing endpoint: no schema change, no migration, no new permission. Verified end to end against the seeded data: a holding-company staff member with a login sees the approved August 2026 run's payslip immediately (status approved, no pay date); a freshly created draft run's payslips stay invisible; approving a run fires exactly one notification per member with a login; paying the run flips the badge to Paid. nest build and admin vite build clean; openapi.json unchanged (351 paths / 448 operations / 175 schemas).</w:t>
      </w:r>
    </w:p>
    <w:p>
      <w:pPr>
        <w:pStyle w:val="Heading2"/>
      </w:pPr>
      <w:r>
        <w:t>Impact on this document</w:t>
      </w:r>
    </w:p>
    <w:p>
      <w:pPr>
        <w:pStyle w:val="BodyText"/>
      </w:pPr>
      <w:r>
        <w:t>Requirements — the employee self-service payslip requirement is tightened: a payslip is visible to its owner once its payroll run is approved (status approved or paid); draft and cancelled runs remain hidden; the row shows whether payment has been released.</w:t>
      </w:r>
    </w:p>
    <w:p>
      <w:pPr>
        <w:pStyle w:val="Heading1"/>
      </w:pPr>
      <w:r>
        <w:t>100. Implementation Status Update 86 (2 September 2026) — Alerts on the Admin Bell, Routed by Department</w:t>
      </w:r>
    </w:p>
    <w:p>
      <w:pPr>
        <w:pStyle w:val="BodyText"/>
      </w:pPr>
      <w:r>
        <w:t>An administrator asked that the Alerts feed introduced in Update 83 show up on the admin app's bell icon as notifications, and that every logged-in admin staff member see those notifications filtered to their own department. Until now the Alerts feed lived only on its own screen (GET /api/v1/alerts); the bell showed workflow notifications pushed explicitly by individual modules, and nothing routed anything by department.</w:t>
      </w:r>
    </w:p>
    <w:p>
      <w:pPr>
        <w:pStyle w:val="BodyText"/>
      </w:pPr>
      <w:r>
        <w:t>The Alerts feed is a single cross-module list of time-sensitive things that need attention — overdue customer and supplier invoices, pending approvals, expiring supplier contracts, vehicle statutory renewals and services due, asset insurance and inspections, stock below its minimum, expiring stock batches and project deadlines — each derived live from the module that owns it and filtered to the caller's company scope (BR-01). The bell is a per-user in-app feed: a Notification row per recipient, polled every 20 seconds for its unread count, with no scheduler or push infrastructure in this proof-of-concept.</w:t>
      </w:r>
    </w:p>
    <w:p>
      <w:pPr>
        <w:pStyle w:val="BodyText"/>
      </w:pPr>
      <w:r>
        <w:t>IMPLEMENTED THIS PASS. Every alert is now tagged with the department responsible for acting on it. Where the source record carries a department (projects) that column is used; otherwise the owning function is matched, case-insensitively and as a substring, against that company's own department names — so overdue invoices route to Finance / Billing, expiring contracts to Procurement, vehicle renewals and services to Fleet / Logistics / Distribution, stock and batch alerts to Warehouse / Inventory, and pending-approval queues by queue type (expense and supplier-invoice approvals to Finance, leave approvals to Human Resources). An alert that matches no department is treated as company-wide. A new AlertsService.syncToNotifications(user) mirrors the caller's live alert feed onto their bell as Notification rows of type alert:&lt;category&gt;, reconciling on each read — it creates a row for every alert that has none yet and deletes rows whose underlying alert has cleared, so the bell always reflects the current feed without a scheduler. The sync runs at the top of GET /api/v1/notifications and GET /api/v1/notifications/unread-count, is best-effort (a failure never breaks the feed) and is throttled to one reconcile per user every two minutes.</w:t>
      </w:r>
    </w:p>
    <w:p>
      <w:pPr>
        <w:pStyle w:val="BodyText"/>
      </w:pPr>
      <w:r>
        <w:t>The department filter: a staff member whose department is known — resolved from their linked Employee record, or a department-scoped access grant — sees their department's alerts plus the company-wide ones; a user with group-wide visibility (organization.company.viewAll), or one with no department at all, sees everything already in their company scope, exactly as before. Notification gains a nullable department_id column (migration 20260902140000_notification_department) and the feed now returns the routed department id and name on each row; the bell marks alert notifications with a warning glyph and shows a small department chip. No new permission, no new endpoint. Verified end to end on the seeded data (fifteen Agro alerts): the Finance &amp; Administration user receives the three overdue-invoice notifications plus the five company-wide pending-approval ones and none of the seven warehouse-routed alerts; the Warehouse &amp; Distribution user receives the stock, batch and vehicle alerts plus the five pending approvals and none of the overdue invoices; a user with no department and the Managing Director (group visibility) receive all fifteen; re-polling never duplicates a row and clearing an alert removes its notification. nest build and admin vite build clean; prisma migrate deploy applied; openapi.json regenerated (351 paths / 448 operations, path order only).</w:t>
      </w:r>
    </w:p>
    <w:p>
      <w:pPr>
        <w:pStyle w:val="Heading2"/>
      </w:pPr>
      <w:r>
        <w:t>Impact on this document</w:t>
      </w:r>
    </w:p>
    <w:p>
      <w:pPr>
        <w:pStyle w:val="BodyText"/>
      </w:pPr>
      <w:r>
        <w:t>Requirements — refines Notifications &amp; Alerts (section 39): Alerts-feed items are mirrored to the recipient's in-app feed and scoped by department — a staff member with a known department sees that department's alerts plus company-wide ones; group-visibility or no-department users see the full company scope.</w:t>
      </w:r>
    </w:p>
    <w:p>
      <w:pPr>
        <w:pStyle w:val="Heading1"/>
      </w:pPr>
      <w:r>
        <w:t>101. Implementation Status Update 87 (2 September 2026) — Alert Notifications Made Visible on the Bell</w:t>
      </w:r>
    </w:p>
    <w:p>
      <w:pPr>
        <w:pStyle w:val="BodyText"/>
      </w:pPr>
      <w:r>
        <w:t>After Update 86 an administrator reported that the alert notifications still did not appear on the admin app's bell for logged-in staff. Investigation with a headless browser showed the cause was purely presentational: the notification dropdown is rendered inside the navy top bar, which sets a white text colour, and the dropdown panel never reset it — so every row was drawn in white text on a white background. The unread count on the bell was correct and the rows were in the DOM; they were simply invisible. This pass fixes the visibility and tightens the department routing.</w:t>
      </w:r>
    </w:p>
    <w:p>
      <w:pPr>
        <w:pStyle w:val="BodyText"/>
      </w:pPr>
      <w:r>
        <w:t>The dropdown panel now sets an explicit dark text colour and opaque white background (and a left text alignment), so the notification title, its detail line, the timestamp and the department chip all render at normal contrast. The department chip uses the standard neutral badge style. No behavioural change to what is shown — only whether it can be seen.</w:t>
      </w:r>
    </w:p>
    <w:p>
      <w:pPr>
        <w:pStyle w:val="BodyText"/>
      </w:pPr>
      <w:r>
        <w:t>Department routing was also made deterministic. Each alert category carries an ordered list of department-name keywords, most-specific owner first; routing now walks that list in order and the first keyword that matches any of the company's departments wins, instead of taking whichever department happened to appear first in the list. So a low-stock alert resolves to “Warehouse &amp; Distribution” on the “warehouse” keyword rather than falling through to a broader “Field Operations”, and a handful of catch-all keywords (field, operations) were added at the end of the vehicle, stock, batch and inspection categories so companies that have only a general operations department still receive those alerts.</w:t>
      </w:r>
    </w:p>
    <w:p>
      <w:pPr>
        <w:pStyle w:val="BodyText"/>
      </w:pPr>
      <w:r>
        <w:t>No schema change, no new endpoint, no new permission — this is the visibility fix for Update 86. Re-verified end to end in the running admin app with three personas: the IT Administrator (group-wide visibility) sees all fifteen seeded Agro alerts on the bell, each with its department chip (Finance &amp; Administration or Warehouse &amp; Distribution); the Finance Manager (scoped, Finance &amp; Administration) sees the three overdue-invoice alerts plus the five company-wide pending-approval alerts and none of the warehouse-routed ones; the Branch Manager (scoped, Field Operations) sees the five company-wide pending-approval alerts. All rows are legible, the ⚠️ marker and the department chip show, and re-polling does not duplicate. nest build and admin vite build clean; openapi.json unchanged.</w:t>
      </w:r>
    </w:p>
    <w:p>
      <w:pPr>
        <w:pStyle w:val="Heading2"/>
      </w:pPr>
      <w:r>
        <w:t>Impact on this document</w:t>
      </w:r>
    </w:p>
    <w:p>
      <w:pPr>
        <w:pStyle w:val="BodyText"/>
      </w:pPr>
      <w:r>
        <w:t>Requirements — closes the Update 86 gap — the mirrored, department-scoped alert notifications are now rendered legibly on the bell for every logged-in staff member.</w:t>
      </w:r>
    </w:p>
    <w:p>
      <w:pPr>
        <w:pStyle w:val="Heading1"/>
      </w:pPr>
      <w:r>
        <w:t>102. Implementation Status Update 88 (2 September 2026) — Social Media Channels Managed From One Shared Record</w:t>
      </w:r>
    </w:p>
    <w:p>
      <w:pPr>
        <w:pStyle w:val="BodyText"/>
      </w:pPr>
      <w:r>
        <w:t>An administrator asked to manage the storefront's social media channels from the CMS / Site Builder section of the admin/backend so that a single edit — one handle, one display name, one tagline, one visibility setting — can be pushed to every social media channel at once, and so that adding, updating or deleting all channels is a single click rather than a per-channel chore.</w:t>
      </w:r>
    </w:p>
    <w:p>
      <w:pPr>
        <w:pStyle w:val="BodyText"/>
      </w:pPr>
      <w:r>
        <w:t>A new SocialContent table (migration 20260902150000_social_content) holds exactly one row: the shared content record — an account handle, a display name used as the link label on every channel, a tagline shown above the channel row in the storefront footer, and a shared visibility flag. It sits alongside the existing per-channel SocialLink table, which is unchanged, so a channel can still be added or edited individually as before.</w:t>
      </w:r>
    </w:p>
    <w:p>
      <w:pPr>
        <w:pStyle w:val="BodyText"/>
      </w:pPr>
      <w:r>
        <w:t>Four endpoints were added under the existing cms.manage / cms.viewAll permissions (no new permission): GET and PUT /api/v1/cms/social-content read and save the shared record; POST /api/v1/cms/social-content/apply pushes it onto every channel in one call — with { createMissing: true } it first creates a channel for every supported platform, building each URL from the shared handle, and with { overwriteUrls: true } it rebuilds every channel URL from that handle; DELETE /api/v1/cms/social-content/channels removes every channel at once. The CMS / Site Builder screen gains a “Shared content — one edit, all channels” panel with Save, “Apply to all channels”, “Add &amp; sync every platform” and “Clear all channels” buttons. The storefront footer now shows the shared tagline above the channel icons via a new public GET /api/v1/customer-portal/public/social-content.</w:t>
      </w:r>
    </w:p>
    <w:p>
      <w:pPr>
        <w:pStyle w:val="BodyText"/>
      </w:pPr>
      <w:r>
        <w:t>Verified end to end against the running system: saving the shared record then clicking “Add &amp; sync every platform” created the eight buildable platform channels and set every label and visibility from the record; “Apply to all channels” with the URL-rebuild option on rewrote every channel URL from the handle; “Clear all channels” deleted them all and a re-apply with createMissing rebuilt them; the storefront footer read the shared tagline. Every mutation writes an audit event (cms.social_content.updated / applied / cleared). nest build, admin vite build and storefront vite build all clean; openapi.json regenerated (355 paths, 453 operations).</w:t>
      </w:r>
    </w:p>
    <w:p>
      <w:pPr>
        <w:pStyle w:val="Heading2"/>
      </w:pPr>
      <w:r>
        <w:t>Impact on this document</w:t>
      </w:r>
    </w:p>
    <w:p>
      <w:pPr>
        <w:pStyle w:val="BodyText"/>
      </w:pPr>
      <w:r>
        <w:t>Requirements — the CMS / Site Builder requirement for social media channels now includes a shared-content record and the bulk apply / add-all / clear-all actions.</w:t>
      </w:r>
    </w:p>
    <w:p>
      <w:pPr>
        <w:pStyle w:val="Heading1"/>
      </w:pPr>
      <w:r>
        <w:t>103. Implementation Status Update 89 (2 September 2026) — Every Social Media Platform Managed From One CMS Roster</w:t>
      </w:r>
    </w:p>
    <w:p>
      <w:pPr>
        <w:pStyle w:val="BodyText"/>
      </w:pPr>
      <w:r>
        <w:t>Following Update 88 (a shared social-content record with a one-click apply to all channels), an administrator asked that the social media channels be managed from the CMS / Site Builder section as one place that reflects every social media platform — so the panel shows all supported platforms as a fixed list, whether or not a channel row exists yet, rather than only the channels that happen to have been added.</w:t>
      </w:r>
    </w:p>
    <w:p>
      <w:pPr>
        <w:pStyle w:val="BodyText"/>
      </w:pPr>
      <w:r>
        <w:t>The CMS / Site Builder “Social media channels” panel is now a fixed roster of every supported platform (Facebook, X, Instagram, LinkedIn, YouTube, TikTok, WhatsApp, Telegram, Other). Each platform is one editable row — URL, label, visibility, order — present at all times; a platform with no URL shows as “not set” with its expected URL shape as a placeholder. Saving a row creates the channel; clearing its URL and saving removes it; the visibility toggle and the up/down order controls act on the platforms that have a row. The per-platform URL placeholder is built from the shared handle in the Update 88 record where one is set.</w:t>
      </w:r>
    </w:p>
    <w:p>
      <w:pPr>
        <w:pStyle w:val="BodyText"/>
      </w:pPr>
      <w:r>
        <w:t>Backing this: the `social_links` table now has a UNIQUE constraint on `platform` (migration 20260902160000_social_link_platform_unique — it de-duplicates any existing rows first, keeping the earliest per platform), so each platform maps to at most one channel. Two endpoints were added under the existing cms.manage / cms.viewAll permissions (no new permission): GET /api/v1/cms/social-links/roster returns all nine platforms in canonical order with any existing row merged in and a URL hint; PUT /api/v1/cms/social-links/platform/:platform creates, updates or (on an explicit empty URL) deletes that platform's single row. The free-form “add a channel” form is replaced by the roster, and the old POST /cms/social-links now rejects a second row for a platform with a clear message. Every mutation is audited as before (cms.social_link.created / updated / deleted).</w:t>
      </w:r>
    </w:p>
    <w:p>
      <w:pPr>
        <w:pStyle w:val="BodyText"/>
      </w:pPr>
      <w:r>
        <w:t>Verified end to end against the running system: the roster returns all nine platforms with the four seeded ones (Facebook, X, Instagram, LinkedIn shown; WhatsApp hidden) merged in and the rest marked “not set”; PUT platform/youtube created a row, PUT platform/facebook updated its URL, PUT platform/whatsapp with an empty URL deleted it, and POST /cms/social-links for an existing platform returned a 409 with the “edit it in the platform roster” message; the storefront footer reflected each change. nest build, admin vite build and storefront vite build all clean; prisma migrate deploy applied; openapi.json regenerated (357 paths, 455 operations). The Update 88 shared-content panel and its one-click apply / add-all / clear-all actions are unchanged and sit above the roster.</w:t>
      </w:r>
    </w:p>
    <w:p>
      <w:pPr>
        <w:pStyle w:val="Heading2"/>
      </w:pPr>
      <w:r>
        <w:t>Impact on this document</w:t>
      </w:r>
    </w:p>
    <w:p>
      <w:pPr>
        <w:pStyle w:val="BodyText"/>
      </w:pPr>
      <w:r>
        <w:t>Requirements — the CMS / Site Builder requirement for social media channels is refined: the management surface enumerates every supported platform (one row per platform), not just the channels already added.</w:t>
      </w:r>
    </w:p>
    <w:p>
      <w:pPr>
        <w:pStyle w:val="Heading1"/>
      </w:pPr>
      <w:r>
        <w:t>104. Implementation Status Update 90 (3 September 2026) — Automatic Staff Identification Cards for Active Administration Staff</w:t>
      </w:r>
    </w:p>
    <w:p>
      <w:pPr>
        <w:pStyle w:val="BodyText"/>
      </w:pPr>
      <w:r>
        <w:t>An administrator asked that every actively registered administration staff member carry a system-generated staff identification card that is added, updated and issued automatically rather than filled in by hand for each person.</w:t>
      </w:r>
    </w:p>
    <w:p>
      <w:pPr>
        <w:pStyle w:val="BodyText"/>
      </w:pPr>
      <w:r>
        <w:t>A new staff_id_cards table (migration 20260903120000_staff_id_cards) holds exactly one card per employee: a unique card number (MID-XXXXXXXX), an opaque verification code behind the printed QR block, a status of active / revoked / expired, an issue date and a three-year expiry, an optional photo reference and a reissue count. A card is issued automatically the moment an Employee record is created; POST /api/v1/staff-id-cards/generate back-fills a card for every active employee that still lacks one and ages out any card past its expiry; setting an employee inactive revokes the card and bringing them back re-activates it.</w:t>
      </w:r>
    </w:p>
    <w:p>
      <w:pPr>
        <w:pStyle w:val="BodyText"/>
      </w:pPr>
      <w:r>
        <w:t>A new module (src/staff-id-cards) exposes /api/v1/staff-id-cards under two new HR-domain permissions — employee.idcard.manage (issue, reissue, revoke, restore, correct the photo or expiry, run the bulk sweep) and employee.idcard.viewAll (group-wide read). It offers list / summary / get / by-employee / verify-by-code reads plus generate, issue, PATCH, reissue, revoke and restore; every mutation is audited (employee.idcard.issued / reissued / revoked / restored / updated / bulk_generated) and the feed is company-scoped per BR-01. Manage + viewAll are granted to Super Administrator, Managing Director, IT Administrator and the Human Resources Manager; manage within their own scope to the Branch Manager; viewAll to the group oversight roles.</w:t>
      </w:r>
    </w:p>
    <w:p>
      <w:pPr>
        <w:pStyle w:val="BodyText"/>
      </w:pPr>
      <w:r>
        <w:t>The staff Admin app gains a Staff ID Cards screen under Human Resources (a card-face gallery with the Morise mark, the holder's photo or initials and a QR block, plus Generate missing cards / Issue / Edit / Reissue / Revoke / Restore) and a My HR -&gt; My ID Card self-service screen (GET /api/v1/my-hr/id-card, scoped by Employee.userId). Verified end to end against the running system: 11 seeded cards issued, a newly created employee received a card automatically, deactivation revoked it and reactivation restored it, and verify-by-code, reissue and the scoped feed all behaved. nest build, admin vite build and prisma migrate deploy all clean; openapi.json regenerated (367 paths, 467 operations).</w:t>
      </w:r>
    </w:p>
    <w:p>
      <w:pPr>
        <w:pStyle w:val="Heading2"/>
      </w:pPr>
      <w:r>
        <w:t>Impact on this document</w:t>
      </w:r>
    </w:p>
    <w:p>
      <w:pPr>
        <w:pStyle w:val="BodyText"/>
      </w:pPr>
      <w:r>
        <w:t>Requirements - a new functional area: every actively registered staff member carries exactly one system-issued identification card, created automatically on employee registration, swept in bulk, and revoked / restored automatically with employment status; new permissions employee.idcard.manage / employee.idcard.viewAll; a self-service view of one's own card.</w:t>
      </w:r>
    </w:p>
    <w:p>
      <w:pPr>
        <w:pStyle w:val="Heading1"/>
      </w:pPr>
      <w:r>
        <w:t>105. Implementation Status Update 91 (3 September 2026) — Staff Identification Card — Front and Back</w:t>
      </w:r>
    </w:p>
    <w:p>
      <w:pPr>
        <w:pStyle w:val="BodyText"/>
      </w:pPr>
      <w:r>
        <w:t>Following Update 90 (the automatic staff identification card), an administrator asked that the card have a distinct front and a back part rather than a single face.</w:t>
      </w:r>
    </w:p>
    <w:p>
      <w:pPr>
        <w:pStyle w:val="BodyText"/>
      </w:pPr>
      <w:r>
        <w:t>The card resource now carries a back object alongside the front fields. The front is unchanged - logo header, photo or initials, holder name / job title / staff number / company / unit, the QR block, card number and issue / expiry. The back carries the standard conditions of use, an 'if found, return to' block built from the issuing company's registered address and contact, the holder's national ID and emergency contact (read live from the Employee record), an optional blood group and a free-text note (both held on the card), a Code 128-style barcode of the card number and holder / issuing-officer signature lines.</w:t>
      </w:r>
    </w:p>
    <w:p>
      <w:pPr>
        <w:pStyle w:val="BodyText"/>
      </w:pPr>
      <w:r>
        <w:t>Two card-held back fields are added - blood_group and back_notes (migration 20260903140000_staff_id_card_back) - settable on issue and via PATCH /api/v1/staff-id-cards/:id under the existing employee.idcard.manage permission; everything else on the back is derived. GET /api/v1/staff-id-cards* and GET /api/v1/my-hr/id-card all return the new back object; no new endpoint or permission.</w:t>
      </w:r>
    </w:p>
    <w:p>
      <w:pPr>
        <w:pStyle w:val="BodyText"/>
      </w:pPr>
      <w:r>
        <w:t>The shared IdCard.jsx component renders both faces - a 'Show back / Show front' flip on the admin Staff ID Cards gallery, and front-and-back side by side on My HR -&gt; My ID Card. The admin Edit dialog gains Blood group and Back note fields. Verified end to end against the running system (the back object resolves the issuer address from the company and the blood group from the card; PATCH sets both). nest build, admin vite build and prisma migrate deploy all clean; openapi.json unchanged at 367 paths / 467 operations.</w:t>
      </w:r>
    </w:p>
    <w:p>
      <w:pPr>
        <w:pStyle w:val="Heading2"/>
      </w:pPr>
      <w:r>
        <w:t>Impact on this document</w:t>
      </w:r>
    </w:p>
    <w:p>
      <w:pPr>
        <w:pStyle w:val="BodyText"/>
      </w:pPr>
      <w:r>
        <w:t>Requirements - the identification-card requirement is refined: the card has a front and a back; the back shows the conditions of use, the issuer's return address, and the holder's national id / emergency contact / blood group and a note.</w:t>
      </w:r>
    </w:p>
    <w:p>
      <w:pPr>
        <w:pStyle w:val="Heading1"/>
      </w:pPr>
      <w:r>
        <w:t>106. Implementation Status Update 92 (3 September 2026) — Staff Identification Card — Back Face Sized to the Front, Blood Group Removed</w:t>
      </w:r>
    </w:p>
    <w:p>
      <w:pPr>
        <w:pStyle w:val="BodyText"/>
      </w:pPr>
      <w:r>
        <w:t>Following Updates 90 and 91 (the automatic staff identification card, then its front and back), an administrator asked for two adjustments to the back: remove the blood group section, and make the back the same size as the front.</w:t>
      </w:r>
    </w:p>
    <w:p>
      <w:pPr>
        <w:pStyle w:val="BodyText"/>
      </w:pPr>
      <w:r>
        <w:t>The card back no longer shows a blood group. The card-held blood_group column is dropped (migration 20260903160000_staff_id_card_drop_blood_group); the free-text back_notes field is kept. The back object returned by GET /api/v1/staff-id-cards* and GET /api/v1/my-hr/id-card no longer carries bloodGroup, and POST / PATCH /api/v1/staff-id-cards/:id no longer accept it. The back still shows the holder's national ID and emergency contact (from the Employee), the conditions of use, the 'if found, return to' block from the issuing company's address, an optional note and the barcode.</w:t>
      </w:r>
    </w:p>
    <w:p>
      <w:pPr>
        <w:pStyle w:val="BodyText"/>
      </w:pPr>
      <w:r>
        <w:t>Both faces are now a single fixed rectangle - the shared IdCard.jsx component renders the front and the back at the same width and height (a fixed CARD_W x CARD_H box, overflow clipped), with the back's barcode and signature lines anchored to the bottom edge. The admin Edit dialog drops the Blood group field (Photo, Expiry and Back note remain).</w:t>
      </w:r>
    </w:p>
    <w:p>
      <w:pPr>
        <w:pStyle w:val="BodyText"/>
      </w:pPr>
      <w:r>
        <w:t>No new endpoint or permission; openapi.json path / operation counts unchanged (367 / 467). Verified end to end against the running system: the migration drops the column, the card and back payloads no longer include bloodGroup, backNotes still round-trips, and both card faces render at the same size. nest build, admin vite build and prisma migrate deploy all clean.</w:t>
      </w:r>
    </w:p>
    <w:p>
      <w:pPr>
        <w:pStyle w:val="Heading2"/>
      </w:pPr>
      <w:r>
        <w:t>Impact on this document</w:t>
      </w:r>
    </w:p>
    <w:p>
      <w:pPr>
        <w:pStyle w:val="BodyText"/>
      </w:pPr>
      <w:r>
        <w:t>Requirements - the identification-card requirement is adjusted: the back has no blood group, and the front and back are the same size.</w:t>
      </w:r>
    </w:p>
    <w:p>
      <w:pPr>
        <w:pStyle w:val="Heading1"/>
      </w:pPr>
      <w:r>
        <w:t>107. Implementation Status Update 93 (3 September 2026) — Morise Milling Ltd Subsidiary + Milling ERP Specification (New Doc 23)</w:t>
      </w:r>
    </w:p>
    <w:p>
      <w:pPr>
        <w:pStyle w:val="BodyText"/>
      </w:pPr>
      <w:r>
        <w:t>An administrator asked to add a new subsidiary under Morise Holdings Limited with a grain-milling concept, based on the client attachment 'Software Development Features for a Milling Company'.</w:t>
      </w:r>
    </w:p>
    <w:p>
      <w:pPr>
        <w:pStyle w:val="BodyText"/>
      </w:pPr>
      <w:r>
        <w:t>Morise Milling Ltd is seeded as a wholly-owned (100%) subsidiary (company id a1000000-0000-4000-8000-000000000007): six mill sites / branches (Kampala Head Office &amp; Central Mill, Jinja Wheat &amp; Maize Mill, Masindi Maize Mill, Mbale Millet &amp; Sorghum Mill, Lira Grain Mill &amp; Silos, Kampala Distribution Depot); twelve departments, one per architecture module (Grain Procurement &amp; Weighbridge; Warehouse &amp; Inventory; Production &amp; Milling Lines; Machine &amp; Maintenance; Quality Assurance &amp; Control; Packaging; Sales &amp; Customer Management; Distribution &amp; Delivery; Finance &amp; Accounting; Human Resources &amp; Workforce; Procurement &amp; Supplier Management; IT, IoT &amp; Integrations); and six starter policies (Weighbridge Ticket Integrity, Grain Acceptance &amp; Moisture Limits, Milling Yield &amp; Loss Tolerance, Batch Traceability End to End, Preventive Maintenance Compliance, Food Safety &amp; Product Release). Only prisma/seed.ts changes - no code, schema or permission change; the Managing Director's create / update / delete / activate authority over subsidiaries was delivered earlier.</w:t>
      </w:r>
    </w:p>
    <w:p>
      <w:pPr>
        <w:pStyle w:val="BodyText"/>
      </w:pPr>
      <w:r>
        <w:t>The milling-specific system is a specification, not built. New doc 23 - Milling ERP &amp; Integrated Business Management System - Feature Specification - restates the attachment in the house format: twelve feature modules from grain procurement over a weighbridge through production and milling lines, machine maintenance, QA/QC, packaging, sales, distribution, finance and workforce to a management dashboard with IoT / PLC integration and end-to-end supplier-to-customer batch traceability; plus non-functional requirements, an architecture overview, an integration table, the fifteen recommended roles, a technology-stack table, the organisation as seeded, a five-phase delivery roadmap and a section on reuse of the existing MBMS modules (Suppliers, Inventory / Warehouse, Fleet, Delivery, Accounting, HR / Payroll, Alerts, Audit).</w:t>
      </w:r>
    </w:p>
    <w:p>
      <w:pPr>
        <w:pStyle w:val="BodyText"/>
      </w:pPr>
      <w:r>
        <w:t>The storefront's public site lists Morise Milling Ltd in the Companies directory (SUBSIDIARY_META entry, a new subsidiary-milling.svg banner added to the brand family and mirrored into both apps, and a News item). Group figures become six subsidiaries and twenty-six sites / branches. Verified against the running system: the company, its 6 branches, 12 departments and 6 policies are returned by the /organization API and are manageable by the Managing Director; admin and storefront builds are clean.</w:t>
      </w:r>
    </w:p>
    <w:p>
      <w:pPr>
        <w:pStyle w:val="Heading2"/>
      </w:pPr>
      <w:r>
        <w:t>Impact on this document</w:t>
      </w:r>
    </w:p>
    <w:p>
      <w:pPr>
        <w:pStyle w:val="BodyText"/>
      </w:pPr>
      <w:r>
        <w:t>Requirements - a new subsidiary and a new feature specification (doc 23): a milling ERP covering procurement over a weighbridge, warehouse / silo control, production &amp; milling lines, maintenance, QA/QC, packaging, sales, distribution, finance, workforce and a management dashboard, with end-to-end batch traceability.</w:t>
      </w:r>
    </w:p>
    <w:p>
      <w:pPr>
        <w:pStyle w:val="Heading1"/>
      </w:pPr>
      <w:r>
        <w:t>108. Implementation Status Update 94 (3 September 2026) — Automatic Morise e-Stamp on a Customer-Acknowledged Delivery</w:t>
      </w:r>
    </w:p>
    <w:p>
      <w:pPr>
        <w:pStyle w:val="BodyText"/>
      </w:pPr>
      <w:r>
        <w:t>Update 66 (recorded as a specification only) is now built: after a Morise delivery is completed, the customer confirms - through the customer portal - that they received the order's goods / services in good condition, and MBMS automatically places a Morise e-Stamp on the order's invoice.</w:t>
      </w:r>
    </w:p>
    <w:p>
      <w:pPr>
        <w:pStyle w:val="BodyText"/>
      </w:pPr>
      <w:r>
        <w:t>New endpoint POST /api/v1/customer-portal/orders/:id/delivery/acknowledge (customer JWT) with condition = good | damaged | incomplete | not_received and an optional note. It is allowed only once the order's delivery is `delivered`, and only once. A `good` acknowledgement, in one transaction, stamps the order's invoice - invoices.stamped_at, a unique invoices.stamp_number = MOR-ESTAMP-YYYY-NNNNNN, invoices.stamp_condition = 'good' (new nullable columns, migration 20260903180000_invoice_estamp_delivery_ack) - and logs a delivery event, an invoice.estamp.issued audit entry and a best-effort notification to the selling subsidiary's order team. A damaged / incomplete / not-received acknowledgement issues no stamp: it sets deliveries.exception_opened_at, logs the customer's report as a delivery event and raises a delivery.exception_opened audit entry and a staff notification. The delivery also records customer_ack_condition / customer_ack_at / customer_ack_note / customer_ack_by.</w:t>
      </w:r>
    </w:p>
    <w:p>
      <w:pPr>
        <w:pStyle w:val="BodyText"/>
      </w:pPr>
      <w:r>
        <w:t>The e-Stamp is shown on: the customer's delivery-tracking view (GET /customer-portal/orders/:id/delivery now returns canAcknowledge, the acknowledgement fields and, once stamped, the eStamp), the invoice list and detail (eStamped, stampNumber), and the downloaded invoice PDF - which now draws a navy / amber Morise seal (the Morise 'M' mark, 'MORISE e-STAMP', the stamp number and the confirmation wording) top-right. The staff DeliveryService.get also returns the stamp and acknowledgement fields.</w:t>
      </w:r>
    </w:p>
    <w:p>
      <w:pPr>
        <w:pStyle w:val="BodyText"/>
      </w:pPr>
      <w:r>
        <w:t>Storefront: the My Orders detail shows, for a completed delivery, a 'Did everything arrive in good condition?' panel - 'Yes, confirm receipt' (issues the e-Stamp) or 'Report a problem' (damaged / incomplete / not received + a note, opens a delivery exception); afterwards it shows the confirmation and the e-Stamp number, or the exception notice. The Invoices list shows a 'Morise e-Stamp' badge. Seed adds one completed delivery for a Highland Traders order awaiting confirmation, so the flow is demoable. Verified end to end against the running system: a `good` acknowledgement issued MOR-ESTAMP-2026-000001 on the invoice and rendered the seal on the PDF; the guards (not delivered -&gt; 409, already acknowledged -&gt; 409, no delivery -&gt; 404) and the damaged path (no stamp, exception opened) all behaved. nest build, storefront vite build and prisma migrate deploy all clean; openapi.json regenerated (368 paths / 468 operations). Supersedes the 'spec only - nothing built' status of Update 66.</w:t>
      </w:r>
    </w:p>
    <w:p>
      <w:pPr>
        <w:pStyle w:val="Heading2"/>
      </w:pPr>
      <w:r>
        <w:t>Impact on this document</w:t>
      </w:r>
    </w:p>
    <w:p>
      <w:pPr>
        <w:pStyle w:val="BodyText"/>
      </w:pPr>
      <w:r>
        <w:t>Requirements - implements the previously-recorded requirement (Update 66): a customer acknowledgement step after delivery, an automatic Morise e-Stamp on the invoice for 'received in good condition', and a delivery exception for anything else.</w:t>
      </w:r>
    </w:p>
    <w:p>
      <w:pPr>
        <w:pStyle w:val="Heading1"/>
      </w:pPr>
      <w:r>
        <w:t>109. Implementation Status Update 95 (3 September 2026) — A Clear "Confirm Receipt" Button / Link for the Customer e-Stamp Confirmation</w:t>
      </w:r>
    </w:p>
    <w:p>
      <w:pPr>
        <w:pStyle w:val="BodyText"/>
      </w:pPr>
      <w:r>
        <w:t>Following Update 94 (the automatic Morise e-Stamp on a customer-acknowledged delivery), an administrator asked that the customer have a clear confirmation button / link - not just a panel buried in an order's detail.</w:t>
      </w:r>
    </w:p>
    <w:p>
      <w:pPr>
        <w:pStyle w:val="BodyText"/>
      </w:pPr>
      <w:r>
        <w:t>New read GET /api/v1/customer-portal/orders/awaiting-confirmation (customer JWT) returns the customer's own orders with a completed delivery they have not yet confirmed (orderId, orderNumber, deliveryNumber, deliveredAt, companyName). The dashboard summary (GET /customer-portal/dashboard-summary) gains deliveriesToConfirm and firstDeliveryToConfirmOrderId. No schema change, no new permission.</w:t>
      </w:r>
    </w:p>
    <w:p>
      <w:pPr>
        <w:pStyle w:val="BodyText"/>
      </w:pPr>
      <w:r>
        <w:t>Storefront: a dedicated confirmation page at /orders/:id/confirm - a shareable URL that shows the order and delivery summary and a prominent 'Confirm - received in good condition' button plus a 'Report a problem' form (damaged / incomplete / not received + note); on a good confirmation it shows the Morise e-Stamp number and a 'Download stamped invoice' link, on a problem the exception notice. The My Orders list marks each order awaiting confirmation with a 'Confirm receipt -&gt;' link to that page, and the Home dashboard shows a prompt card ('You have N deliveries awaiting your confirmation' + 'Confirm now').</w:t>
      </w:r>
    </w:p>
    <w:p>
      <w:pPr>
        <w:pStyle w:val="BodyText"/>
      </w:pPr>
      <w:r>
        <w:t>The Update 94 acknowledge endpoint, the automatic e-Stamp and the in-detail panel are unchanged. Verified end to end against the running system: awaiting-confirmation and the dashboard count move 1 -&gt; 2 -&gt; 1 as a delivery is completed and then confirmed; the confirmation page issues the e-Stamp. nest build and storefront vite build clean; openapi.json regenerated (369 paths / 469 operations).</w:t>
      </w:r>
    </w:p>
    <w:p>
      <w:pPr>
        <w:pStyle w:val="Heading2"/>
      </w:pPr>
      <w:r>
        <w:t>Impact on this document</w:t>
      </w:r>
    </w:p>
    <w:p>
      <w:pPr>
        <w:pStyle w:val="BodyText"/>
      </w:pPr>
      <w:r>
        <w:t>Requirements - the delivery-acknowledgement requirement gains an access requirement: the customer must be able to reach the confirmation from a clear button / link (Home, the order list, and a dedicated /orders/:id/confirm page).</w:t>
      </w:r>
    </w:p>
    <w:p>
      <w:pPr>
        <w:pStyle w:val="Heading1"/>
      </w:pPr>
      <w:r>
        <w:t>110. Implementation Status Update 96 (3 September 2026) — Confirm-Receipt Button Driven by the Order's Delivered Status</w:t>
      </w:r>
    </w:p>
    <w:p>
      <w:pPr>
        <w:pStyle w:val="BodyText"/>
      </w:pPr>
      <w:r>
        <w:t>An administrator asked that the customer's 'Confirm receipt' button be driven by the order's status: once admin staff mark the order delivered, the button appears in My Orders, and the customer clicks it to attest the goods / services arrived in good condition - which is what generates the automatic Morise e-Stamp. A Morise Logistics delivery record is no longer required.</w:t>
      </w:r>
    </w:p>
    <w:p>
      <w:pPr>
        <w:pStyle w:val="BodyText"/>
      </w:pPr>
      <w:r>
        <w:t>The Order gains delivered_at (stamped when an administrator advances the order to `delivered`, or a Morise Logistics delivery completes) and customer_receipt_confirmed_at / customer_receipt_condition / customer_receipt_note (migration 20260903200000_order_customer_receipt, which back-fills delivered_at for orders already delivered). GET /api/v1/customer-portal/orders and .../:id now return deliveredAt, the receipt fields and canConfirmReceipt (order.status === 'delivered' AND not yet confirmed), plus eStamped / stampNumber on the invoice sub-object.</w:t>
      </w:r>
    </w:p>
    <w:p>
      <w:pPr>
        <w:pStyle w:val="BodyText"/>
      </w:pPr>
      <w:r>
        <w:t>POST /api/v1/customer-portal/orders/:id/delivery/acknowledge is now order-driven: it is allowed once the order is `delivered` and only once, regardless of whether a delivery record exists. A `good` confirmation records the receipt on the order and auto-stamps the order's invoice (MOR-ESTAMP-YYYY-NNNNNN); any other condition records a dispute (no stamp). When a Morise Logistics delivery record exists, the confirmation is mirrored onto it (its customer_ack_* fields + a delivery event). Audited as invoice.estamp.issued (good) or order.receipt.disputed (else) with a best-effort notification to the selling subsidiary's order team. GET /customer-portal/orders/awaiting-confirmation and the dashboard summary's deliveriesToConfirm now count delivered, unconfirmed orders.</w:t>
      </w:r>
    </w:p>
    <w:p>
      <w:pPr>
        <w:pStyle w:val="BodyText"/>
      </w:pPr>
      <w:r>
        <w:t>Storefront: the My Orders detail's 'Did everything arrive in good condition?' panel, the /orders/:id/confirm page and the 'Confirm receipt -&gt;' row link are all driven by the order's delivered status and no longer need a delivery record. Seed marks delivered_at on every delivered order and pre-confirms + e-stamps the settled ones, leaving one order (ORD-2026-0001) still awaiting the customer's confirmation. Verified end to end against the running system: staff advanced an order to delivered, the customer confirmed 'damaged' (dispute, no stamp) and 'good' (e-Stamp issued, mirrored onto the delivery record where present); the guards (not delivered -&gt; 409, already confirmed -&gt; 409) behaved. nest build, storefront vite build and prisma migrate deploy all clean; openapi.json unchanged at 369 paths / 469 operations.</w:t>
      </w:r>
    </w:p>
    <w:p>
      <w:pPr>
        <w:pStyle w:val="Heading2"/>
      </w:pPr>
      <w:r>
        <w:t>Impact on this document</w:t>
      </w:r>
    </w:p>
    <w:p>
      <w:pPr>
        <w:pStyle w:val="BodyText"/>
      </w:pPr>
      <w:r>
        <w:t>Requirements - refined: once an administrator marks the order delivered, the storefront must show a Confirm-receipt button; the customer's click is the attestation that generates the e-Stamp; no Morise Logistics delivery is required.</w:t>
      </w:r>
    </w:p>
    <w:p>
      <w:pPr>
        <w:pStyle w:val="Heading1"/>
      </w:pPr>
      <w:r>
        <w:t>111. Implementation Status Update 97 (3 September 2026) — Social Media Publishing — Composer, Publishing Engine &amp; Status Dashboard (New Doc 24)</w:t>
      </w:r>
    </w:p>
    <w:p>
      <w:pPr>
        <w:pStyle w:val="BodyText"/>
      </w:pPr>
      <w:r>
        <w:t>An administrator asked for a mini Buffer / Hootsuite inside MBMS: write one master post, fan it out to many social media channels in one click with per-platform caption overrides, publish now or schedule, and see per-platform success / failure. The architecture plan the administrator supplied - the three layers, the seven feature areas, and the 2026 cost / access reality for X, Meta, LinkedIn and TikTok - is restated in the house format in the new doc 24.</w:t>
      </w:r>
    </w:p>
    <w:p>
      <w:pPr>
        <w:pStyle w:val="BodyText"/>
      </w:pPr>
      <w:r>
        <w:t>A new module (src/social-publishing) exposes /api/v1/social. Schema (migration 20260903220000_social_publishing): social_connections (a simulated OAuth connection per platform - status, account label, a ~60-day token expiry, a placeholder token reference; no real handshake), social_posts (master body, media type + text-reference url, link, status draft / scheduled / publishing / published / partially_failed / failed, scheduledFor) and social_post_targets (one row per platform per post - caption override, status pending / publishing / success / failed / skipped, external id + permalink, error, attempts). Three new governance-domain permissions: social.post.manage (draft / edit / delete, connect / disconnect channels), social.post.publish (fan-out, retry, run the schedule) and social.post.viewAll (composer + posts + dashboard) - the 'can create drafts vs can publish' split.</w:t>
      </w:r>
    </w:p>
    <w:p>
      <w:pPr>
        <w:pStyle w:val="BodyText"/>
      </w:pPr>
      <w:r>
        <w:t>Endpoints: GET /social/platforms (the nine channels with connection state + character limits + media rules), POST /social/platforms/:platform/{connect,disconnect}; GET / POST /social/posts, GET / PATCH / DELETE /social/posts/:id (get returns a per-platform preview - effective caption, character count vs limit, truncation / media / not-connected warnings); POST /social/posts/:id/publish (the single button - fans the post out to every target and computes per-platform success or failure), POST /social/posts/:id/retry (failed targets only), POST /social/run-scheduled (fire due scheduled posts - a stand-in for the cron worker); GET /social/dashboard. Every mutation is audited (social.post.* / social.connection.*).</w:t>
      </w:r>
    </w:p>
    <w:p>
      <w:pPr>
        <w:pStyle w:val="BodyText"/>
      </w:pPr>
      <w:r>
        <w:t>The publish itself is SIMULATED - dispatchOne() enforces the platform's own rules (character limit, media requirement, connection state) and mints a fake permalink on success, rather than calling a real platform API; there is no OAuth handshake or job queue in this build (the same deferred external integration already recorded for Kafka, object storage and email / SMS). The shape a genuine integration slots into is real: a connection per platform, one target row per platform with its own status / external id / error, a fan-out step with partial failure and retry, and a status dashboard. Admin gains a Social Publishing screen under ADMIN / BACKEND (four tabs: Compose with live per-channel preview and caption overrides, Posts with per-platform outcome + retry, Channels connect / disconnect, Dashboard). Seed connects four channels and adds a published post, a draft and a scheduled post. Verified end to end against the running system: a post fanned out with a partial failure (Instagram rejected - no media), a retry after adding media published it, disconnecting a channel failed its target, run-scheduled fired a due post, and the drafts-vs-publish permission split held (Sales Manager 403 on publish). nest build, admin vite build and prisma migrate deploy all clean; openapi.json regenerated (378 paths / 481 operations).</w:t>
      </w:r>
    </w:p>
    <w:p>
      <w:pPr>
        <w:pStyle w:val="Heading2"/>
      </w:pPr>
      <w:r>
        <w:t>Impact on this document</w:t>
      </w:r>
    </w:p>
    <w:p>
      <w:pPr>
        <w:pStyle w:val="BodyText"/>
      </w:pPr>
      <w:r>
        <w:t>Requirements - a new functional area: a unified social media composer, per-platform account connections, a one-click fan-out publisher with per-platform status, media handling, scheduling, a status dashboard and a drafts-vs-publish permission split.</w:t>
      </w:r>
    </w:p>
    <w:p>
      <w:pPr>
        <w:pStyle w:val="Heading1"/>
      </w:pPr>
      <w:r>
        <w:t>112. Implementation Status Update 98 (8 September 2026) — Product Catalogue for Morise Milling Ltd + Branch-Tagged Product Registration (Doc 23)</w:t>
      </w:r>
    </w:p>
    <w:p>
      <w:pPr>
        <w:pStyle w:val="BodyText"/>
      </w:pPr>
      <w:r>
        <w:t>An administrator asked to add products to Morise Milling Ltd. Morise Milling Ltd was seeded as the group's sixth wholly-owned subsidiary in Update 93 (3 September 2026) with six mill sites and twelve departments but zero products — it was spec-stage only. This update gives it its first product catalogue and, at the same time, generalises product registration in the Admin app so any multi-site subsidiary's products can be tagged to the branch/site that produces them, not just company-wide.</w:t>
      </w:r>
    </w:p>
    <w:p>
      <w:pPr>
        <w:pStyle w:val="BodyText"/>
      </w:pPr>
      <w:r>
        <w:t>prisma/seed.ts gains a Morise Milling Ltd product-catalogue block (ensureMillProduct helper, 7 new categories): 24 SKUs — 15 priced finished goods and services (maize, wheat, and millet/sorghum flour lines across 4 pack sizes; maize bran, wheat bran/pollard, maize germ and a compounded dairy meal as by-products; toll milling, grain cleaning/drying, silo storage and grain grading/moisture testing as services) plus 5 finished-goods lines and 4 internal-only items (raw maize/wheat/millet grain intake, printed bag and retail-pack packaging) that are seeded with no unitPrice on purpose — CustomerCatalogService only lists priced products, so raw materials and packaging stay off the customer storefront while Admin Inventory still tracks them. Batch tracking (trackBatches) and min/max stock levels are set per docx/23 section 2.2 (raw-material / finished-goods / packaging warehouses, FIFO-FEFO, min-max levels) and sections 2.5-2.6 (batch numbers, expiry / best-before, end-to-end batch traceability). Each item is attributed to the mill or depot that produces or holds it (Masindi for maize, Jinja for wheat, Mbale for millet/sorghum, Lira for grain intake and toll-milling services, the Kampala depot for retail packs and packaging).</w:t>
      </w:r>
    </w:p>
    <w:p>
      <w:pPr>
        <w:pStyle w:val="BodyText"/>
      </w:pPr>
      <w:r>
        <w:t>Product.branchId already existed on the schema (29 August 2026, storefront group catalogue), but only the seed could set it — a product registered through the Admin screen was always company-wide. CreateProductDto and UpdateProductDto (mbms/backend/src/products/dto/product.dto.ts) both gain an optional branchId; ProductsService.assertReferencesBelongTo validates on create and update that both the category and the branch belong to the product's own companyId, and every product read (list, get, create, update) now includes and returns companyName and branchName so an Admin list spanning several subsidiaries reads clearly.</w:t>
      </w:r>
    </w:p>
    <w:p>
      <w:pPr>
        <w:pStyle w:val="BodyText"/>
      </w:pPr>
      <w:r>
        <w:t>The Admin Products screen (mbms/frontend/src/pages/Products.jsx) is rebuilt on top of this: a subsidiary filter above the list, Company / Branch / Category / Stock / a per-row Edit action added to the table, and the New Product form replaced with Company and Branch dropdowns (previously a bare company-UUID text field and a "Load Categories" button) that only offer that company's own categories and branches. A new Edit Product modal exposes the PATCH /products/:id endpoint (it has existed since Sprint 4 with no screen) so an administrator can correct a product's price, re-point it at another branch, or retire it without leaving the page. Verified end to end: reseeded and confirmed all 24 Morise Milling Ltd rows in Postgres with the correct branch attribution; nest build clean; openapi.json regenerated (378 paths / 481 operations / 188 schemas — unchanged, this update adds fields to an existing schema, no new path). The group catalogue is now 58 products across 25 categories (53 storefront-priced, 5 internal-only), and all six operating subsidiaries sell at least one product or service — Morise Milling Ltd was the last one still at zero.</w:t>
      </w:r>
    </w:p>
    <w:p>
      <w:pPr>
        <w:pStyle w:val="Heading2"/>
      </w:pPr>
      <w:r>
        <w:t>Impact on this document</w:t>
      </w:r>
    </w:p>
    <w:p>
      <w:pPr>
        <w:pStyle w:val="BodyText"/>
      </w:pPr>
      <w:r>
        <w:t>Requirements - satisfies a requirement gap: an administrator can register a company's products against a specific branch/site from the Admin screen, and can edit a product after creation, both previously only possible by editing seed data directly.</w:t>
      </w:r>
    </w:p>
    <w:p>
      <w:pPr>
        <w:pStyle w:val="Heading1"/>
      </w:pPr>
      <w:r>
        <w:t>113. Implementation Status Update 99 (9 September 2026) — Morise Research &amp; Consultancy Ltd — Seventh Subsidiary + RC-MIS Specification (New Doc 25)</w:t>
      </w:r>
    </w:p>
    <w:p>
      <w:pPr>
        <w:pStyle w:val="BodyText"/>
      </w:pPr>
      <w:r>
        <w:t>An administrator asked to add a subsidiary for research and other types of consultancy, based on the client attachment docx/Research_and_Consultancy_Software_Development_Features.docx. Morise Research &amp; Consultancy Ltd is seeded as the group's seventh wholly-owned (100%) subsidiary (company id a1000000-0000-4000-8000-000000000008), registered at Plot 7, Acacia Avenue, Kololo, Kampala, currency UGX, financial year starting 1 January 2026 — created and managed by the Managing Director under the existing subsidiary-lifecycle capability (Update 34), the same way as every prior subsidiary.</w:t>
      </w:r>
    </w:p>
    <w:p>
      <w:pPr>
        <w:pStyle w:val="BodyText"/>
      </w:pPr>
      <w:r>
        <w:t>Five sites/branches (ids b1...0050-0054): Kampala Head Office, and four regional field offices — Gulu (Northern), Mbale (Eastern), Mbarara (Western) and a Karamoja Field Station (Moroto) — reflecting the client attachment's emphasis on geographic coverage and target-population reach for fieldwork. Twelve departments (ids d1...0080-0091) condense the client's fourteen-node RC-MIS architecture into standing organisational units: Client &amp; Business Development; Contracts &amp; Grants Management; Research Design &amp; Methodology; Field Operations &amp; Data Collection; Data Quality &amp; Management; Data Analysis &amp; Qualitative Research; Monitoring &amp; Evaluation; Reports, Deliverables &amp; Knowledge Management; Ethics &amp; Compliance; Finance, Procurement &amp; Subcontracting; Human Resources &amp; Consultant Management; IT, Client Portal &amp; Systems. Six starter policies (ids p1...0050-0055): Research Ethics &amp; Informed Consent, Data Protection &amp; Participant Confidentiality, Fieldwork Safety &amp; Security, Data Quality Assurance, Consultant &amp; Enumerator Conflict of Interest, and Contract, Grant &amp; Proposal Compliance.</w:t>
      </w:r>
    </w:p>
    <w:p>
      <w:pPr>
        <w:pStyle w:val="BodyText"/>
      </w:pPr>
      <w:r>
        <w:t>Like every subsidiary before its first feature build, only the organisation is seeded — seed.ts only, no code, schema or permission change. The subsidiary is not a storefront seller (0 products); a research and consultancy firm is billed on contracts, retainers and timesheets, not a priced catalogue, so it does not get a products pass the way Milling did. The RC-MIS itself (fourteen modules: CRM, Proposals &amp; Tenders, Contracts &amp; Grants, Research Projects, Field Data Collection, Data Quality &amp; Analysis, Monitoring &amp; Evaluation, Reports &amp; Deliverables, Knowledge &amp; Documents, Consultants &amp; HR, Finance &amp; Procurement, Risk &amp; Compliance, Client Portal, Management Analytics) is a specification, not built: new docx/25 restates the client attachment in the house documentation format used for docs 19-24, covering the fourteen modules, non-functional requirements, architecture, key integration points, user roles, suggested technology stack, the organisation as built above, a five-phase delivery roadmap, and how it would relate to and reuse the existing MBMS platform.</w:t>
      </w:r>
    </w:p>
    <w:p>
      <w:pPr>
        <w:pStyle w:val="BodyText"/>
      </w:pPr>
      <w:r>
        <w:t>The storefront's corporate site picks up the new subsidiary automatically from GET /customer-portal/public/overview (group now 7 subsidiaries, 31 sites/branches); mbms/storefront/src/lib/corporate.js gains a SUBSIDIARY_META entry, a SUBSIDIARY_BANNER entry and a News item for it. A new brand/banners/subsidiary-research-consultancy.svg (indigo accent; bar-chart-and-magnifying-glass motif — the group's first new subsidiary accent colour since Milling reused the base amber) is mirrored into both apps' public/brand/banners/ and added to brand/README.md's banner table. Verified end to end against the running system: the new company, its 5 branches, 12 departments and 6 policies confirmed in Postgres and via the authenticated Admin organisation API; the public overview endpoint lists it with its branch count; both banner assets resolve at /brand/banners/subsidiary-research-consultancy.svg on the Admin app and the Customer Storefront. No new endpoint, migration or permission; openapi.json unchanged.</w:t>
      </w:r>
    </w:p>
    <w:p>
      <w:pPr>
        <w:pStyle w:val="Heading2"/>
      </w:pPr>
      <w:r>
        <w:t>Impact on this document</w:t>
      </w:r>
    </w:p>
    <w:p>
      <w:pPr>
        <w:pStyle w:val="BodyText"/>
      </w:pPr>
      <w:r>
        <w:t>Requirements - adds docx/25 as a new specification document restating the client's research-and-consultancy feature set; no change to MBMS's own functional requirements until a phase of docx/25 is prioritised for build.</w:t>
      </w:r>
    </w:p>
    <w:p>
      <w:pPr>
        <w:pStyle w:val="Heading1"/>
      </w:pPr>
      <w:r>
        <w:t>114. Implementation Status Update 100 (9 September 2026) — Services Catalogue for Morise Research &amp; Consultancy Ltd (Doc 25)</w:t>
      </w:r>
    </w:p>
    <w:p>
      <w:pPr>
        <w:pStyle w:val="BodyText"/>
      </w:pPr>
      <w:r>
        <w:t>An administrator asked to add products to Morise Research &amp; Consultancy Ltd. Morise Research &amp; Consultancy Ltd was seeded as the group's seventh subsidiary in Update 99 (9 September 2026) with five field offices and twelve departments but zero products — spec-stage only, on the reasoning that a consultancy is billed on contracts and timesheets. Like Morise Collateral Management Ltd (Update 60), which is also billed on contracts and retainers, the subsidiary can still carry a priced services catalogue representing its standard, quotable engagements; this update seeds that first catalogue.</w:t>
      </w:r>
    </w:p>
    <w:p>
      <w:pPr>
        <w:pStyle w:val="BodyText"/>
      </w:pPr>
      <w:r>
        <w:t>prisma/seed.ts gains a Morise Research &amp; Consultancy Ltd services block (reusing the ensureService() helper already used for the Collateral Management catalogue): 23 services (RC-7001 through RC-7051) across 6 new categories — Research &amp; Evaluation Studies (baseline, midline/endline, impact assessment, feasibility, market research, needs assessment), Field Data Collection (quantitative survey enumeration, qualitative FGDs/KIIs, mobile/offline data-collection setup, enumerator recruitment &amp; training), Data Management &amp; Analysis (data cleaning, statistical analysis, qualitative coding, dashboard setup), Monitoring &amp; Evaluation Services (M&amp;E framework design, indicator-tracking-system setup, ongoing M&amp;E support), Technical &amp; Policy Consultancy (policy advisory, institutional capacity assessment, strategic planning facilitation, a senior-researcher day rate) and Training &amp; Capacity Building (research-methods and M&amp;E workshops). Every line is productType 'service', priced in UGX per the standard unit a client's statement of work would quote against (per study, per session, per dataset, per day), and every line carries a unitPrice, so — unlike Morise Milling Ltd's internal raw-material items — the whole catalogue is storefront-visible.</w:t>
      </w:r>
    </w:p>
    <w:p>
      <w:pPr>
        <w:pStyle w:val="BodyText"/>
      </w:pPr>
      <w:r>
        <w:t>Each service is attributed to the office best placed to deliver it: study design, analysis, policy advisory and the day-rate line sit at the Kampala Head Office; fieldwork-heavy lines (household-survey enumeration, focus groups, enumerator training, a needs assessment, ongoing M&amp;E support, the two training workshops) are spread across the Gulu, Mbale, Mbarara and Karamoja field offices to reflect where that work actually happens. No schema, code or permission change — seed.ts only, reusing the existing ensureService()/ensureCategory() helpers and Product model exactly as every prior services catalogue (Logistics, Clearing &amp; Forwarding, Warehouse Management, Collateral Management) did.</w:t>
      </w:r>
    </w:p>
    <w:p>
      <w:pPr>
        <w:pStyle w:val="BodyText"/>
      </w:pPr>
      <w:r>
        <w:t>Verified end to end against the running system: reseeded, all 23 rows confirmed in Postgres with correct branch and category attribution; the Admin Products screen, filtered to Morise Research &amp; Consultancy Ltd, lists all 23 services with correct company/branch/category/price/stock columns (screenshot-verified, no console errors); nest build clean; openapi.json regenerated byte-identical (378 paths / 481 operations / 188 schemas — no new endpoint or field). Group catalogue now 81 products across 31 categories (76 storefront-priced, 5 internal-only); all seven operating subsidiaries now sell at least one product or service.</w:t>
      </w:r>
    </w:p>
    <w:p>
      <w:pPr>
        <w:pStyle w:val="Heading2"/>
      </w:pPr>
      <w:r>
        <w:t>Impact on this document</w:t>
      </w:r>
    </w:p>
    <w:p>
      <w:pPr>
        <w:pStyle w:val="BodyText"/>
      </w:pPr>
      <w:r>
        <w:t>Requirements - no new functional requirement: the existing product-catalogue and Admin Products-screen requirements now cover an eighth catalogue.</w:t>
      </w:r>
    </w:p>
    <w:p>
      <w:pPr>
        <w:pStyle w:val="Heading1"/>
      </w:pPr>
      <w:r>
        <w:t>115. Implementation Status Update 101 (9 September 2026) — Dockerized Backend, Admin App and Customer Storefront</w:t>
      </w:r>
    </w:p>
    <w:p>
      <w:pPr>
        <w:pStyle w:val="BodyText"/>
      </w:pPr>
      <w:r>
        <w:t>An administrator asked to dockerize the backend, the Admin app and the Customer Storefront. Until now only Postgres and Redis ran as containers (mbms/docker-compose.yml); the three application services ran natively (nest build + node dist/main.js for the backend, npm run dev / Vite for each frontend). This update adds a Dockerfile for each of the three, wires them into docker-compose.yml alongside Postgres and Redis, and verifies the whole stack end to end.</w:t>
      </w:r>
    </w:p>
    <w:p>
      <w:pPr>
        <w:pStyle w:val="BodyText"/>
      </w:pPr>
      <w:r>
        <w:t>backend/Dockerfile is a two-stage build on node:20-bookworm-slim (deliberately not Alpine) for both stages: npm ci, prisma generate, then npm run build — which runs nest build, not a bare tsc, so the @nestjs/swagger CLI plugin still populates the OpenAPI document's request/response schemas exactly as it does outside Docker. The runtime stage copies over only the compiled dist/, the already-generated Prisma Client, and production node_modules (npm ci --omit=dev), then runs node dist/main.js. Both stages install openssl and ca-certificates explicitly — Prisma's own documented fix for a libssl-detection warning on the bare -slim image. Using the same glibc-based Debian image for both the build and runtime stages avoids the well-known 'Query Engine could not be found' failure that mixing an Alpine (musl-libc) build with a glibc runtime, or vice versa, can cause.</w:t>
      </w:r>
    </w:p>
    <w:p>
      <w:pPr>
        <w:pStyle w:val="BodyText"/>
      </w:pPr>
      <w:r>
        <w:t>frontend/Dockerfile and storefront/Dockerfile follow a matching two-stage pattern on node:20-alpine (build) and nginx:1.27-alpine (runtime): npm run build produces a static Vite bundle, and a bundled nginx.conf reverse-proxies /api/* to the backend container by its Compose service name — the same relationship vite.config.js's dev-server proxy gives each app locally, so the existing fetch('/api/v1/...') calls need no code change and no CORS configuration either way. A try_files fallback to index.html handles client-side routing so a deep link or a page reload on a route like /companies still resolves.</w:t>
      </w:r>
    </w:p>
    <w:p>
      <w:pPr>
        <w:pStyle w:val="BodyText"/>
      </w:pPr>
      <w:r>
        <w:t>docker-compose.yml gains backend, frontend and storefront services: backend waits on a new Postgres healthcheck (pg_isready) before starting and gets its DATABASE_URL/PORT overridden to the in-network Postgres host and internal port (the rest of its configuration still comes from backend/.env via env_file); frontend and storefront are exposed on the same host ports their Vite dev servers already used (5173 / 5174) so the URLs are unchanged whether the stack is run natively or dockerized. Migrations and seeding are deliberately still run from the host (npx prisma migrate deploy &amp;&amp; npx prisma db seed against the same containerized Postgres) rather than inside the container, since the runtime image omits the prisma CLI and ts-node to stay small — this was already the workflow before the backend itself was containerized, and is unchanged now.</w:t>
      </w:r>
    </w:p>
    <w:p>
      <w:pPr>
        <w:pStyle w:val="BodyText"/>
      </w:pPr>
      <w:r>
        <w:t>Verified end to end: all three images build clean; docker compose up -d --build brings up all five containers, backend reporting healthy against Postgres's Compose healthcheck; existing seeded data (8 companies, 81 products) survived a Postgres container recreate because it lives in the mbms_pg_data named volume, not in the container itself; a staff login through the dockerized Admin app and a page load of the dockerized Customer Storefront both succeeded with the request round-tripping through nginx to the backend container and back, with zero browser console errors on either app (screenshot-verified). No schema, endpoint or permission change; openapi.json unchanged.</w:t>
      </w:r>
    </w:p>
    <w:p>
      <w:pPr>
        <w:pStyle w:val="Heading2"/>
      </w:pPr>
      <w:r>
        <w:t>Impact on this document</w:t>
      </w:r>
    </w:p>
    <w:p>
      <w:pPr>
        <w:pStyle w:val="BodyText"/>
      </w:pPr>
      <w:r>
        <w:t>Requirements - no new functional requirement: this is a deployment-mechanics change, not a feature.</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rPr>
      <w:b/>
      <w:bCs/>
      <w:color w:val="1F3864"/>
      <w:sz w:val="40"/>
      <w:szCs w:val="40"/>
    </w:rPr>
  </w:style>
  <w:style w:type="paragraph" w:styleId="Heading2">
    <w:name w:val="heading 2"/>
    <w:basedOn w:val="Heading"/>
    <w:next w:val="BodyText"/>
    <w:qFormat/>
    <w:pPr>
      <w:pBdr>
        <w:bottom w:val="single" w:sz="2" w:space="2" w:color="1F3864"/>
      </w:pBdr>
      <w:spacing w:before="330" w:after="120"/>
      <w:outlineLvl w:val="1"/>
    </w:pPr>
    <w:rPr>
      <w:rFonts w:ascii="Liberation Serif" w:hAnsi="Liberation Serif" w:eastAsia="Noto Serif CJK SC" w:cs="Noto Sans Devanagari"/>
      <w:b/>
      <w:bCs/>
      <w:color w:val="1F3864"/>
      <w:sz w:val="28"/>
      <w:szCs w:val="28"/>
    </w:rPr>
  </w:style>
  <w:style w:type="paragraph" w:styleId="Heading3">
    <w:name w:val="heading 3"/>
    <w:basedOn w:val="Heading"/>
    <w:next w:val="BodyText"/>
    <w:qFormat/>
    <w:pPr>
      <w:spacing w:before="210" w:after="120"/>
      <w:outlineLvl w:val="2"/>
    </w:pPr>
    <w:rPr>
      <w:rFonts w:ascii="Liberation Serif" w:hAnsi="Liberation Serif" w:eastAsia="Noto Serif CJK SC" w:cs="Noto Sans Devanagari"/>
      <w:b/>
      <w:bCs/>
      <w:color w:val="2E5395"/>
      <w:sz w:val="24"/>
      <w:szCs w:val="24"/>
    </w:rPr>
  </w:style>
  <w:style w:type="paragraph" w:styleId="Heading4">
    <w:name w:val="heading 4"/>
    <w:basedOn w:val="Heading"/>
    <w:next w:val="BodyText"/>
    <w:qFormat/>
    <w:pPr>
      <w:spacing w:before="150" w:after="60"/>
      <w:outlineLvl w:val="3"/>
    </w:pPr>
    <w:rPr>
      <w:rFonts w:ascii="Liberation Serif" w:hAnsi="Liberation Serif" w:eastAsia="Noto Serif CJK SC" w:cs="Noto Sans Devanagari"/>
      <w:b/>
      <w:bCs/>
      <w:color w:val="2E5395"/>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sz w:val="19"/>
      <w:szCs w:val="19"/>
      <w:shd w:fill="EFEFEF" w:val="clear"/>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20"/>
      <w:szCs w:val="20"/>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864" w:val="clear"/>
      <w:jc w:val="left"/>
    </w:pPr>
    <w:rPr>
      <w:b/>
      <w:bCs/>
      <w:color w:val="FFFFFF"/>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Software Requirements Specification</dc:title>
</cp:coreProperties>
</file>

<file path=docProps/custom.xml><?xml version="1.0" encoding="utf-8"?>
<Properties xmlns="http://schemas.openxmlformats.org/officeDocument/2006/custom-properties" xmlns:vt="http://schemas.openxmlformats.org/officeDocument/2006/docPropsVTypes"/>
</file>