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Design - no design change: the same Admin Products screen and rate-card presentation used for every other services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Design - no application design change: the same screens, same API contract, delivered through a different runtime packaging.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