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Schema - staff_id_cards gains nullable blood_group VARCHAR(8) and back_notes TEXT (migration 20260903140000_staff_id_card_back); no other change.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Schema - staff_id_cards.blood_group is dropped (migration 20260903160000_staff_id_card_drop_blood_group); back_notes is kept.</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Schema - no schema change: Morise Milling Ltd is seeded through the existing Company / Branch / Department / CompanyPolicy tables (company a1...007; branches b1...0040-0045; departments d1...0060-0071; policies p1...0040-0045).</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Schema - invoices gains nullable stamped_at / stamp_number (unique) / stamp_condition; deliveries gains nullable customer_ack_condition / customer_ack_at / customer_ack_note / customer_ack_by / exception_opened_at (migration 20260903180000_invoice_estamp_delivery_ack).</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Schema - no schema change: the awaiting-confirmation list is derived from deliveries (status delivered + customer_ack_at null).</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Schema - orders gains nullable delivered_at, customer_receipt_confirmed_at, customer_receipt_condition, customer_receipt_note (migration 20260903200000_order_customer_receipt, which back-fills delivered_at for existing delivered orders).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Schema - new tables social_connections (platform PK, status, account label, token expiry, placeholder token ref), social_posts (master body, media type / url text ref, link, status, scheduledFor, publishedAt) and social_post_targets (post + platform unique, caption override, status, external id / url, error, attempts). New enums SocialPostStatus / SocialTargetStatus / SocialMediaType. Migration 20260903220000_social_publishing.</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Schema - no schema change: Product.branchId already existed (29 August 2026). This update only changes which write paths may set it and what the read shape returns (companyName, branchName).</w:t>
      </w:r>
    </w:p>
    <w:p>
      <w:pPr>
        <w:pStyle w:val="Heading1"/>
      </w:pPr>
      <w:r>
        <w:t>114.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Schema - no schema change: the new subsidiary uses the existing Company / Branch / Department / CompanyPolicy tables, exactly like the six subsidiaries before it.</w:t>
      </w:r>
    </w:p>
    <w:p>
      <w:pPr>
        <w:pStyle w:val="Heading1"/>
      </w:pPr>
      <w:r>
        <w:t>115.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Schema - no schema change: uses the existing Product / ProductCategory tables exactly as every prior subsidiary's catalogue.</w:t>
      </w:r>
    </w:p>
    <w:p>
      <w:pPr>
        <w:pStyle w:val="Heading1"/>
      </w:pPr>
      <w:r>
        <w:t>116.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Schema - no schema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