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Company &amp; Holdings Management — a Payroll Management feature specification is recorded: one payroll system for employees across every subsidiary, covering salary structures (basic, allowances, overtime, bonuses, commissions), deductions (loans, advances, taxes, statutory, pension), approval, payslip generation, bank payment schedules, history, and department / company / consolidated group payroll reports. The transactional core is already built (Update 41): monthly PayrollRun per subsidiary → approved → paid with Uganda PAYE + NSSF, salary advances with automatic recovery, GL posting on pay, group-wide visibility via payroll.viewAll, and My Payslips self-service. The salary-structure components, typed deductions, a distinct loan facility, a voluntary pension, a payslip PDF, bank payment schedules and the reporting suite are recorded as backlog on top of it. Specification only; no new permission, endpoint or schema.</w:t>
      </w:r>
    </w:p>
    <w:p>
      <w:pPr>
        <w:pStyle w:val="Heading1"/>
      </w:pPr>
      <w:r>
        <w:t>Implementation Status Update 46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Company &amp; Holdings Management — the first slice of the Payroll Management backlog (Update 45) is built: salary structures, allowances, overtime and bonuses. Each employee can hold a structure of components (basic + allowances, plus one-off overtime / bonus lines for a given month); a payroll run derives gross from the applicable components (falling back to the flat Employee.grossSalary when there is no structure), and every payslip carries the earnings breakdown. New salary_components / payslip_components tables + migration 20260901120000_salary_structures; new /api/v1/payroll/salary-components + /salary-structure endpoints under the existing payroll permissions; the Admin Payroll screen gains a Salary structures tab. PAYE / NSSF and the GL posting are unchanged. Commissions, typed deductions, a loan facility, a voluntary pension, a payslip PDF, bank payment schedules and the reporting suite remain on the backlog.</w:t>
      </w:r>
    </w:p>
    <w:p>
      <w:pPr>
        <w:pStyle w:val="Heading1"/>
      </w:pPr>
      <w:r>
        <w:t>Implementation Status Update 47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Company &amp; Holdings Management — a “7. Accounting and Finance” section is recorded: the financial module (General Ledger, Accounts Receivable, Accounts Payable, Financial Statements) as one of the core components. It is already the deepest built area of MBMS — the Sprint 10 Full Accounting slice and the 19 August 2026 Financial Module Deepening — and against the requested feature list nearly every line is live: chart of accounts, journal entries (with adjusting / closing types), general ledger, trial balance, financial periods, account reconciliation, recurring journals; customer invoices, credit / debit notes, payments, outstanding invoices, payment reminders, customer statements, aging; supplier / purchase invoices with an approval workflow, supplier payments, credit notes, statements, aging, payment schedules; and Profit and Loss, Balance Sheet, Cash Flow Statement, Statement of Changes in Equity, budget-vs-actual, financial ratios and management accounts. The one gap is a dedicated Accounts Receivable sub-ledger reconciliation. Specification / status record only; no new permission, endpoint or schema.</w:t>
      </w:r>
    </w:p>
    <w:p>
      <w:pPr>
        <w:pStyle w:val="Heading1"/>
      </w:pPr>
      <w:r>
        <w:t>Implementation Status Update 48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Company &amp; Holdings Management — a “Cash and Bank Management” section is recorded (bank account management, cash accounts, petty cash, bank deposits / withdrawals / transfers, bank and cash reconciliation, payment / receipt vouchers, cash-flow forecasting, cash position reports). Bank and cash accounts already exist as General Ledger accounts (accountSubType bank / cash) and their movements are recorded as manual journal entries; bank and cash reconciliation are fully built (the AccountReconciliation model + /accounting/reconciliations), and a group-wide cash position is exposed by the dashboard financials and /finance/overview. Net-new on the backlog: a purpose-built bank / cash account register, petty cash, one-step deposit / withdrawal / transfer actions, payment and receipt vouchers, forward cash-flow forecasting, and a dedicated cash-position report. Specification / status record only; no new permission, endpoint or schema.</w:t>
      </w:r>
    </w:p>
    <w:p>
      <w:pPr>
        <w:pStyle w:val="Heading1"/>
      </w:pPr>
      <w:r>
        <w:t>Implementation Status Update 49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Company &amp; Holdings Management — a “Budget Management” section is recorded (annual / department / project / company / group budgets, capex / opex budgets, budget approval, revisions, budget versus actual, utilization, alerts, variance analysis). A budgeting capability is already built: the Budget model (one amount per Account per FinancialPeriod, set via /accounting/budgets, every change audited), GET /accounting/reports/budget-vs-actual (budgeted, actual, variance, variance %) which also rides inside management-accounts, and Project.budget with a budget-vs-actual-cost variance on the project summary. So company budgets, project budgets, budget versus actual and %-utilization are live per subsidiary. Net-new on the backlog: an annual budget as a first-class concept, a department dimension, a group roll-up, a capex / opex classification, a budget approval workflow and versioned revisions, a dedicated utilization report, budget alerts, and a deeper variance analysis. Specification / status record only; no new permission, endpoint or schema.</w:t>
      </w:r>
    </w:p>
    <w:p>
      <w:pPr>
        <w:pStyle w:val="Heading1"/>
      </w:pPr>
      <w:r>
        <w:t>Implementation Status Update 50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Company &amp; Holdings Management — a “Sales Management” section is recorded (Customer Management, Sales, CRM). Customer Management and the order-to-cash core are built: the Customer record (name, category, contact email / phone, address, credit limit, payment-terms days, status), staff and self-service registration, PATCH edits, per-customer statements and order / invoice / payment history; the Order status machine, an Invoice per order, CustomerCreditNote, admin-managed discount codes and promotional banners, the Delivery module, and SupportTicket as the complaint / feedback channel. Net-new on the backlog: quotations, printable delivery notes and receipts, a sales-return / RMA model, a multi-contact list and an enforced credit-limit check, sales commissions / targets / a performance dashboard (deliberately deferred), and the entire CRM (leads, opportunities, follow-ups, an activity log for calls / emails / meetings, a sales pipeline, and structured customer feedback). Specification / status record only; no new permission, endpoint or schema.</w:t>
      </w:r>
    </w:p>
    <w:p>
      <w:pPr>
        <w:pStyle w:val="Heading1"/>
      </w:pPr>
      <w:r>
        <w:t>Implementation Status Update 51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Company &amp; Holdings Management — a “Procurement and Purchasing” section is recorded (purchase requisitions, purchase orders, supplier quotations, RFQs, supplier comparison, purchase approvals, goods received notes, supplier invoices, purchase returns, procurement budgets, procurement reports) with the full workflow Employee / Department Request → Department Approval → Procurement → Supplier Quotations → Evaluation → Management Approval → Purchase Order → Delivery → Inspection → Invoice → Payment. There is no dedicated Procurement module (a deliberately deferred Phase-2 area), but the supplier master (Supplier, /suppliers, blacklist) and the Accounts Payable tail are built: a SupplierInvoice moves draft → pending_approval → approved → paid (submit-for-approval / approve under ap.approve, GL posted on approve), with supplier payments, supplier credit notes, AP aging, a supplier statement and a payment schedule. So supplier invoices and invoice approval are built; a purchase return is a supplier credit note today; a procurement budget is a Budget line. Net-new on the backlog: requisitions, POs, RFQs, supplier quotations &amp; comparison, an evaluation / award step, a PO approval chain, goods received notes and inspection, a distinct purchase-return flow, and procurement reporting — the request-to-PO front of the process, which 05_Business Process Document Section 6.5 already describes. Specification / status record only; no new permission, endpoint or schema.</w:t>
      </w:r>
    </w:p>
    <w:p>
      <w:pPr>
        <w:pStyle w:val="Heading1"/>
      </w:pPr>
      <w:r>
        <w:t>Implementation Status Update 52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Company &amp; Holdings Management — a “Supplier Management” section is recorded (registration, profiles, categories, contacts, contracts, documents, tax information, bank details, evaluation, performance, payment history, statements, blacklist / suspension). The supplier master is built: the Supplier record (name, category, contact email / phone, address, tax id, contract reference + expiry, bank name + account number, status active / inactive / blacklisted), POST /suppliers registration (audited), PATCH edits, category filtering, POST /suppliers/:id/blacklist + /unblacklist, and the bank account number masked unless the caller holds supplier.view.sensitive; supplier payment history and statements come from GET /api/v1/ap/statement (chronological invoice / payment / credit-note ledger with a running balance). Net-new on the backlog: a multi-contact list, supplier contracts and documents as uploaded versioned files (the deferred object-storage gap), a time-bound suspension distinct from blacklist, and supplier evaluation / performance scoring. Specification / status record only; no new permission, endpoint or schema.</w:t>
      </w:r>
    </w:p>
    <w:p>
      <w:pPr>
        <w:pStyle w:val="Heading1"/>
      </w:pPr>
      <w:r>
        <w:t>Implementation Status Update 53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Company &amp; Holdings Management — the Supplier Management backlog is now built. Migration 20260901130000_supplier_management adds supplier_contacts (several named people per supplier - name, title, email, phone, an is_primary flag kept unique by the service, and a note) and supplier_evaluations (a period label, five 1-5 criterion scores for on-time delivery, quality, price, communication and compliance, an averaged overall score, comments and the evaluator); the SupplierStatus enum gains a suspended value and suppliers gains suspension_reason and suspended_until. New endpoints under the existing supplier.manage / supplier.viewAll: GET / POST /suppliers/:id/contacts and PATCH / DELETE .../contacts/:contactId; POST /suppliers/:id/suspend (reason + optional auto-lift date) and /unsuspend, which refuses a blacklisted supplier and auto-lifts once the date passes; GET / POST /suppliers/:id/evaluations and DELETE .../evaluations/:evaluationId; and GET /suppliers/:id/performance, a derived summary (evaluation count, overall average, a rating band, a trend against the previous scorecard, per-criterion averages, and the supplier's AP invoice / payment position) computed on request with no backing table. Every mutation is audited; bank / tax values stay out of payloads; all routes are company-scoped like GET /suppliers/:id. The admin Suppliers screen gains a supplier detail dialog (Contacts / Evaluations / Performance tabs, a Suspend / Lift-suspension control) and seed data adds three contacts and two quarterly scorecards for AgroChem Uganda Ltd. Still backlog: supplier contracts and documents as uploaded versioned files (object storage). No new permission was added.</w:t>
      </w:r>
    </w:p>
    <w:p>
      <w:pPr>
        <w:pStyle w:val="Heading1"/>
      </w:pPr>
      <w:r>
        <w:t>Implementation Status Update 54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Company &amp; Holdings Management — an “Inventory Management” section is added and built on top of the 28 August company-level Inventory section. Migration 20260901140000_inventory_management adds warehouses (several stock sites per company, one default, an optional Branch link), stock_locations (bins / aisles, descriptive), stock_balances (product × warehouse on-hand, summing to the Product.stockQuantity roll-up the storefront and Orders still read), stock_batches (batch number + optional expiry) and stock_serials (one row per serial-numbered unit, status in_stock / issued / returned / scrapped); Product gains min_stock_level / max_stock_level / track_batches / track_serials; StockMovement gains warehouse_id / counterparty_warehouse_id / batch_number and the movement-type enum gains adjustment / transfer_out / transfer_in / return. New endpoints under the existing product.manage / product.viewAll (no new permission): warehouse &amp; location CRUD, POST /inventory/transfers (paired transfer_out / transfer_in, roll-up unchanged), POST /inventory/returns, GET /inventory/balances, PUT /inventory/products/:id/stock-levels, GET /inventory/batches, GET /inventory/serials, an extended POST /inventory/adjustments (warehouseId / batchNumber / expiryDate / serialNumbers), and eight reports at GET /inventory/reports/* (stock balance, stock movement, fast- / slow-moving &amp; dead stock, valuation, shortage, surplus, expiring batches). Every mutation is audited. The admin Inventory screen gains Warehouses and Reports tabs, a warehouse filter, min / max columns, and Transfer / Return / Levels actions. Seed adds a MAIN warehouse per stock-holding company, a second Agro warehouse with locations, minimum / maximum levels on five products, a batch-tracked herbicide, a serial-tracked pallet and a demo transfer. openapi.json regenerated. Next on the backlog: put-away to a specific location, FEFO batch consumption on issue, and stock reservations in order fulfilment.</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