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Business case - the platform now issues and maintains a controlled staff identity credential for every active administration employee automatically, removing a manual, error-prone task. Additive: one table, one module, two HR permissions; no change to the cost basis or benefits ledger beyond a small scope addition.</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Business case - the staff identity credential is now a complete two-sided card, carrying conditions of use and emergency / 'if found' information on the back. Additive: two nullable columns, no new endpoint or permission.</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Business case - a small refinement of the two-sided identity card: the blood group is removed and the two faces are the same size. Removal only - one dropped column, no new endpoint or permission.</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Business case - a sixth wholly-owned operating company, Morise Milling Ltd (grain milling), joins the group; its ERP is a specification and a phased backlog, its organisation is live. Additive: seed data + one new spec doc + a storefront listing and brand banner, no code / schema / permission change.</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Business case - a customer-facing close to the order-to-cash cycle: the customer confirms receipt and the invoice carries a verifiable Morise e-Stamp; a problem instead opens a tracked delivery exception. Additive - one endpoint, three nullable invoice columns + five nullable delivery columns, no new permission.</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Business case - the customer confirmation that triggers the Morise e-Stamp is now a first-class call to action (a Home prompt, an Orders-row link and a dedicated page), not a hidden panel. Additive - one read endpoint + two summary fields, no schema, no new permission.</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Business case - the customer confirmation that generates the Morise e-Stamp is now tied to the order's delivered status set by admin staff, and works for any delivered order (not only those dispatched by Morise Logistics). Additive - four nullable order columns, no new endpoint, no new permission.</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Business case - the group can now publish one message to every social media channel from one screen, with per-channel overrides, scheduling and a success / failure dashboard. Additive: one module, three tables, three governance permissions. The live platform integration (OAuth + APIs) is a documented deferral - new doc 24 records the cost / access reality and the aggregator option.</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Business case - Morise Milling Ltd's business case now rests on a live, priced product line rather than a specification alone; no change to the group's cost basis or phasing.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