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UAT - scenario: as the demo customer, open the delivered order, click 'Yes - confirm receipt', see the confirmation and the e-Stamp number, download the invoice PDF and see the seal; on another order report 'damaged' and see the exception notice with no stamp.</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UAT - scenario: as the demo customer, see the Home prompt card, click 'Confirm now', land on /orders/:id/confirm, confirm receipt, see the e-Stamp number and download the stamped invoice; the prompt and the order-row link disappear.</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UAT - scenario: staff advance an order to Delivered; the customer opens My Orders, sees the Confirm-receipt link / panel, confirms 'received in good condition', sees the Morise e-Stamp on the invoice; a separate order where the customer reports a problem shows the dispute notice with no stamp.</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UAT - scenario: connect a channel; compose a post, preview it per channel, override one caption; publish now and confirm per-channel success; a post that fails on one channel (no media) shows partially_failed and Retry works after fixing it; schedule a post and fire it with Run scheduled; a drafts-only user cannot publish.</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UAT - an administrator can open Products, filter to Morise Milling Ltd, see its 24 SKUs with branch, stock and status, register a new one against a chosen mill, and edit any existing row without leaving the screen.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