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Alpha - exploratory pass: the back face has no blood group row, both faces are the same rectangle, and the Edit dialog has no Blood group field.</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Alpha - exploratory pass: the milling subsidiary appears in the admin Companies list and the storefront Companies directory; its departments and policies render; doc 23 opens and is complete.</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Alpha - exploratory pass over the acknowledgement panel: it appears only for a completed, unconfirmed delivery; the good path stamps and the problem path opens an exception; the Invoices list shows the e-Stamp badge.</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Alpha - exploratory pass: the Home prompt, the Orders-row 'Confirm receipt -&gt;' link and the dedicated page all reach the same acknowledge action; the page handles the already-confirmed and no-delivery states.</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Alpha - exploratory pass: the button appears for every delivered, unconfirmed order (delivery record or not); the good and problem paths behave; confirmed orders show the outcome banner.</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Alpha - exploratory pass over the four tabs: the composer preview / overrides, the posts list + per-channel outcome + retry, connect / disconnect, the dashboard tiles and Run scheduled; permission gating per role.</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Alpha - exercised the create/edit round trip against Morise Milling Ltd's six branches and seven new categories, including the cross-company category/branch rejection enforced by assertReferencesBelongTo.</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