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Administrator Manual - Morise Milling Ltd added to the subsidiary list with its six mill sites, twelve departments and six starter policies; managed like any other subsidiary under the subsidiary-lifecycle capability.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Administrator Manual - the delivery exception raised by a non-good acknowledgement, the invoice.estamp.issued / delivery.exception_opened audit events and the staff notification; the e-Stamp is customer-triggered, not a staff action.</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Administrator Manual - the customer-facing confirmation surfaces (Home prompt, order-row link, /orders/:id/confirm) and the awaiting-confirmation read; the e-Stamp behaviour is unchanged from Update 94.</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Administrator Manual - once staff advance an order to delivered, the customer is prompted to confirm receipt; a good confirmation auto-issues the Morise e-Stamp, a problem records a dispute (order.receipt.disputed audit + notification); no delivery record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Administrator Manual - new section 'Social Publishing': connecting channels (simulated OAuth), composing one post for many channels with per-channel overrides, publishing / scheduling / retrying, reading the status dashboard, and the social.post.manage / publish / viewAll permissions (drafts vs publish).</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Administrator Manual - administrators registering a product for a multi-site subsidiary now pick its producing branch from a dropdown; products with no branch remain company-wide as before.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