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Business case — the group already runs its core operations and finance from one system; the value still to capture is the enterprise-management tier (contracts, legal, compliance, board, document store, loans, investments) and the integration / backup / API layer. The new alert feed turns the data already captured into day-to-day management attention.</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Business case — the objective's promise — one platform, seventeen answers on demand, with company / branch separation — is now directly demonstrable from a single screen and a single API call, with fifteen of the seventeen questions answered outright, one partial and one on the roadmap (investments).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Business case — staff see their finalised pay a pay-cycle earlier: the payslip is available the moment the run is approved, clearly marked “awaiting payment” until funds are released, which removes the blind window between approval and payment.</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Business case — time-sensitive items now reach the people who can act on them without anyone opening a dedicated screen: overdue invoices land on Finance's bell, low stock on the Warehouse team's, vehicle renewals on Fleet's. The alert screen and the bell now tell one story.</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Business case — the feature promised in Update 86 now actually reaches the user: each staff member can read their department's alerts on the bell, correctly labelled and legible.</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Business case — one edit now reaches every social channel, and adding, updating or clearing all of them is a single click; the change is additive (one single-row table, four endpoints on an existing controller, existing permissions).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