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Schema — no schema change — every answer derives from existing tables (companies, journal entries and accounts, invoices, supplier_invoices, assets, employees, projects, expenses, suppliers, vehicles + service_schedules, products). The one gap with no table is the Investment register, recorded as planned.</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Schema — no change. Uses the existing PayrollRun.status / approvedAt / paidAt and the Payslip → PayrollRun relation; PayrollRunStatus is unchanged (draft, approved, paid, cancelled).</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Schema — notifications gains department_id TEXT NULL plus a (user_id, department_id) index — migration 20260902140000_notification_department. No other model changes; the mirrored rows store the stable alert key in entity_id and a type of alert:&lt;category&gt;.</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Schema — no change.</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Schema — one new table, social_content, a single row keyed “default”; social_links is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