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Project Charter &amp; Business Case</w:t>
      </w:r>
    </w:p>
    <w:p>
      <w:pPr>
        <w:pStyle w:val="BodyText"/>
        <w:bidi w:val="0"/>
        <w:spacing w:before="30" w:after="283"/>
        <w:ind w:hanging="0" w:left="0" w:right="0"/>
        <w:jc w:val="left"/>
        <w:rPr>
          <w:color w:val="444444"/>
          <w:sz w:val="24"/>
        </w:rPr>
      </w:pPr>
      <w:r>
        <w:rPr>
          <w:color w:val="444444"/>
          <w:sz w:val="24"/>
        </w:rPr>
        <w:t>Morise Holdings Limited Business Management System (MBMS)</w:t>
      </w:r>
    </w:p>
    <w:tbl>
      <w:tblPr>
        <w:tblW w:w="6425" w:type="dxa"/>
        <w:jc w:val="left"/>
        <w:tblInd w:w="28" w:type="dxa"/>
        <w:tblLayout w:type="fixed"/>
        <w:tblCellMar>
          <w:top w:w="28" w:type="dxa"/>
          <w:left w:w="28" w:type="dxa"/>
          <w:bottom w:w="28" w:type="dxa"/>
          <w:right w:w="28" w:type="dxa"/>
        </w:tblCellMar>
      </w:tblPr>
      <w:tblGrid>
        <w:gridCol w:w="1822"/>
        <w:gridCol w:w="4603"/>
      </w:tblGrid>
      <w:tr>
        <w:trPr/>
        <w:tc>
          <w:tcPr>
            <w:tcW w:w="1822" w:type="dxa"/>
            <w:tcBorders/>
            <w:vAlign w:val="center"/>
          </w:tcPr>
          <w:p>
            <w:pPr>
              <w:pStyle w:val="TableContents"/>
              <w:bidi w:val="0"/>
              <w:spacing w:before="0" w:after="283"/>
              <w:jc w:val="left"/>
              <w:rPr>
                <w:b/>
              </w:rPr>
            </w:pPr>
            <w:r>
              <w:rPr>
                <w:b/>
              </w:rPr>
              <w:t>Document Type:</w:t>
            </w:r>
          </w:p>
        </w:tc>
        <w:tc>
          <w:tcPr>
            <w:tcW w:w="4603" w:type="dxa"/>
            <w:tcBorders/>
            <w:vAlign w:val="center"/>
          </w:tcPr>
          <w:p>
            <w:pPr>
              <w:pStyle w:val="TableContents"/>
              <w:bidi w:val="0"/>
              <w:spacing w:before="0" w:after="283"/>
              <w:jc w:val="left"/>
              <w:rPr/>
            </w:pPr>
            <w:r>
              <w:rPr/>
              <w:t>Project Charter / Business Case</w:t>
            </w:r>
          </w:p>
        </w:tc>
      </w:tr>
      <w:tr>
        <w:trPr/>
        <w:tc>
          <w:tcPr>
            <w:tcW w:w="1822" w:type="dxa"/>
            <w:tcBorders/>
            <w:vAlign w:val="center"/>
          </w:tcPr>
          <w:p>
            <w:pPr>
              <w:pStyle w:val="TableContents"/>
              <w:bidi w:val="0"/>
              <w:spacing w:before="0" w:after="283"/>
              <w:jc w:val="left"/>
              <w:rPr>
                <w:b/>
              </w:rPr>
            </w:pPr>
            <w:r>
              <w:rPr>
                <w:b/>
              </w:rPr>
              <w:t>Version:</w:t>
            </w:r>
          </w:p>
        </w:tc>
        <w:tc>
          <w:tcPr>
            <w:tcW w:w="4603" w:type="dxa"/>
            <w:tcBorders/>
            <w:vAlign w:val="center"/>
          </w:tcPr>
          <w:p>
            <w:pPr>
              <w:pStyle w:val="TableContents"/>
              <w:bidi w:val="0"/>
              <w:spacing w:before="0" w:after="283"/>
              <w:jc w:val="left"/>
              <w:rPr/>
            </w:pPr>
            <w:r>
              <w:rPr/>
              <w:t>1.1 (Draft for Board Review)</w:t>
            </w:r>
          </w:p>
        </w:tc>
      </w:tr>
      <w:tr>
        <w:trPr/>
        <w:tc>
          <w:tcPr>
            <w:tcW w:w="1822" w:type="dxa"/>
            <w:tcBorders/>
            <w:vAlign w:val="center"/>
          </w:tcPr>
          <w:p>
            <w:pPr>
              <w:pStyle w:val="TableContents"/>
              <w:bidi w:val="0"/>
              <w:spacing w:before="0" w:after="283"/>
              <w:jc w:val="left"/>
              <w:rPr>
                <w:b/>
              </w:rPr>
            </w:pPr>
            <w:r>
              <w:rPr>
                <w:b/>
              </w:rPr>
              <w:t>Date:</w:t>
            </w:r>
          </w:p>
        </w:tc>
        <w:tc>
          <w:tcPr>
            <w:tcW w:w="4603" w:type="dxa"/>
            <w:tcBorders/>
            <w:vAlign w:val="center"/>
          </w:tcPr>
          <w:p>
            <w:pPr>
              <w:pStyle w:val="TableContents"/>
              <w:bidi w:val="0"/>
              <w:spacing w:before="0" w:after="283"/>
              <w:jc w:val="left"/>
              <w:rPr/>
            </w:pPr>
            <w:r>
              <w:rPr/>
              <w:t>18 August 2026</w:t>
            </w:r>
          </w:p>
        </w:tc>
      </w:tr>
      <w:tr>
        <w:trPr/>
        <w:tc>
          <w:tcPr>
            <w:tcW w:w="1822" w:type="dxa"/>
            <w:tcBorders/>
            <w:vAlign w:val="center"/>
          </w:tcPr>
          <w:p>
            <w:pPr>
              <w:pStyle w:val="TableContents"/>
              <w:bidi w:val="0"/>
              <w:spacing w:before="0" w:after="283"/>
              <w:jc w:val="left"/>
              <w:rPr>
                <w:b/>
              </w:rPr>
            </w:pPr>
            <w:r>
              <w:rPr>
                <w:b/>
              </w:rPr>
              <w:t>Prepared by:</w:t>
            </w:r>
          </w:p>
        </w:tc>
        <w:tc>
          <w:tcPr>
            <w:tcW w:w="4603" w:type="dxa"/>
            <w:tcBorders/>
            <w:vAlign w:val="center"/>
          </w:tcPr>
          <w:p>
            <w:pPr>
              <w:pStyle w:val="TableContents"/>
              <w:bidi w:val="0"/>
              <w:spacing w:before="0" w:after="283"/>
              <w:jc w:val="left"/>
              <w:rPr/>
            </w:pPr>
            <w:r>
              <w:rPr/>
              <w:t>Obeke Godfrey, Director</w:t>
            </w:r>
          </w:p>
        </w:tc>
      </w:tr>
      <w:tr>
        <w:trPr/>
        <w:tc>
          <w:tcPr>
            <w:tcW w:w="1822" w:type="dxa"/>
            <w:tcBorders/>
            <w:vAlign w:val="center"/>
          </w:tcPr>
          <w:p>
            <w:pPr>
              <w:pStyle w:val="TableContents"/>
              <w:bidi w:val="0"/>
              <w:spacing w:before="0" w:after="283"/>
              <w:jc w:val="left"/>
              <w:rPr>
                <w:b/>
              </w:rPr>
            </w:pPr>
            <w:r>
              <w:rPr>
                <w:b/>
              </w:rPr>
              <w:t>Prepared for:</w:t>
            </w:r>
          </w:p>
        </w:tc>
        <w:tc>
          <w:tcPr>
            <w:tcW w:w="4603" w:type="dxa"/>
            <w:tcBorders/>
            <w:vAlign w:val="center"/>
          </w:tcPr>
          <w:p>
            <w:pPr>
              <w:pStyle w:val="TableContents"/>
              <w:bidi w:val="0"/>
              <w:spacing w:before="0" w:after="283"/>
              <w:jc w:val="left"/>
              <w:rPr/>
            </w:pPr>
            <w:r>
              <w:rPr/>
              <w:t>Board of Directors, Morise Holdings Limited</w:t>
            </w:r>
          </w:p>
        </w:tc>
      </w:tr>
      <w:tr>
        <w:trPr/>
        <w:tc>
          <w:tcPr>
            <w:tcW w:w="1822" w:type="dxa"/>
            <w:tcBorders/>
            <w:vAlign w:val="center"/>
          </w:tcPr>
          <w:p>
            <w:pPr>
              <w:pStyle w:val="TableContents"/>
              <w:bidi w:val="0"/>
              <w:spacing w:before="0" w:after="283"/>
              <w:jc w:val="left"/>
              <w:rPr>
                <w:b/>
              </w:rPr>
            </w:pPr>
            <w:r>
              <w:rPr>
                <w:b/>
              </w:rPr>
              <w:t>Status:</w:t>
            </w:r>
          </w:p>
        </w:tc>
        <w:tc>
          <w:tcPr>
            <w:tcW w:w="4603" w:type="dxa"/>
            <w:tcBorders/>
            <w:vAlign w:val="center"/>
          </w:tcPr>
          <w:p>
            <w:pPr>
              <w:pStyle w:val="TableContents"/>
              <w:bidi w:val="0"/>
              <w:spacing w:before="0" w:after="283"/>
              <w:jc w:val="left"/>
              <w:rPr/>
            </w:pPr>
            <w:r>
              <w:rPr/>
              <w:t>Draft — pending Board approval and sign-off</w:t>
            </w:r>
          </w:p>
        </w:tc>
      </w:tr>
    </w:tbl>
    <w:p>
      <w:pPr>
        <w:pStyle w:val="Heading2"/>
        <w:bidi w:val="0"/>
        <w:jc w:val="left"/>
        <w:rPr/>
      </w:pPr>
      <w:r>
        <w:rPr/>
        <w:t>1. Executive Summary</w:t>
      </w:r>
    </w:p>
    <w:p>
      <w:pPr>
        <w:pStyle w:val="BodyText"/>
        <w:bidi w:val="0"/>
        <w:jc w:val="left"/>
        <w:rPr/>
      </w:pPr>
      <w:r>
        <w:rPr/>
        <w:t>Morise Holdings Limited ("the Group") is a holding company overseeing a growing structure of subsidiaries, branches and associated companies. As the Group expands, its finance, human resources, sales, procurement, inventory, asset and reporting functions are increasingly difficult to manage using disconnected records, spreadsheets and manual processes across companies and branches.</w:t>
      </w:r>
    </w:p>
    <w:p>
      <w:pPr>
        <w:pStyle w:val="BodyText"/>
        <w:bidi w:val="0"/>
        <w:jc w:val="left"/>
        <w:rPr/>
      </w:pPr>
      <w:r>
        <w:rPr/>
        <w:t xml:space="preserve">This Charter proposes the design, development and phased rollout of the </w:t>
      </w:r>
      <w:r>
        <w:rPr>
          <w:b/>
        </w:rPr>
        <w:t>Morise Holdings Limited Business Management System (MBMS)</w:t>
      </w:r>
      <w:r>
        <w:rPr/>
        <w:t xml:space="preserve"> — a centralized, web-based enterprise platform combining ERP, HR management, CRM, accounting, procurement, inventory, project management, asset management and corporate governance capabilities, tailored specifically to the Group's multi-company, multi-branch structure.</w:t>
      </w:r>
    </w:p>
    <w:p>
      <w:pPr>
        <w:pStyle w:val="BodyText"/>
        <w:bidi w:val="0"/>
        <w:jc w:val="left"/>
        <w:rPr/>
      </w:pPr>
      <w:r>
        <w:rPr/>
        <w:t>The system will give the Group CEO and authorized executives consolidated, real-time visibility across all subsidiaries, while allowing each subsidiary and branch to operate independently within its own area of responsibility. Delivery will follow a phased, incremental approach beginning with a core Minimum Viable Product (MVP) covering company structure, user access, HR, sales, procurement, inventory and basic accounting, followed by successive releases adding advanced finance, enterprise management and integration capabilities.</w:t>
      </w:r>
    </w:p>
    <w:p>
      <w:pPr>
        <w:pStyle w:val="BodyText"/>
        <w:bidi w:val="0"/>
        <w:jc w:val="left"/>
        <w:rPr/>
      </w:pPr>
      <w:r>
        <w:rPr/>
        <w:t>This Charter formally authorizes the initiation of planning for the MBMS project and defines its justification, objectives, scope, stakeholders, high-level risks and phased roadmap. It is the first document in the Group's software development documentation set, to be followed by a detailed Software Requirements Specification (SRS), Feasibility Study and Project Plan.</w:t>
      </w:r>
    </w:p>
    <w:p>
      <w:pPr>
        <w:pStyle w:val="Heading2"/>
        <w:bidi w:val="0"/>
        <w:jc w:val="left"/>
        <w:rPr/>
      </w:pPr>
      <w:r>
        <w:rPr/>
        <w:t>2. Business Case and Justification</w:t>
      </w:r>
    </w:p>
    <w:p>
      <w:pPr>
        <w:pStyle w:val="Heading3"/>
        <w:bidi w:val="0"/>
        <w:jc w:val="left"/>
        <w:rPr/>
      </w:pPr>
      <w:r>
        <w:rPr/>
        <w:t>2.1 Background</w:t>
      </w:r>
    </w:p>
    <w:p>
      <w:pPr>
        <w:pStyle w:val="BodyText"/>
        <w:bidi w:val="0"/>
        <w:jc w:val="left"/>
        <w:rPr/>
      </w:pPr>
      <w:r>
        <w:rPr/>
        <w:t>Morise Holdings Limited operates as a holding company with subsidiary companies, branches and associated entities under its structure. Corporate banking and governance arrangements (e.g. the Group's board-resolved banking relationship with Equity Bank Uganda Limited) already reflect a multi-signatory, board-governed structure typical of a company preparing for sustained, multi-entity growth. As the number of companies, branches, employees, customers, suppliers and transactions increases, the absence of a single, centralized management system creates growing operational and financial risk.</w:t>
      </w:r>
    </w:p>
    <w:p>
      <w:pPr>
        <w:pStyle w:val="Heading3"/>
        <w:bidi w:val="0"/>
        <w:jc w:val="left"/>
        <w:rPr/>
      </w:pPr>
      <w:r>
        <w:rPr/>
        <w:t>2.2 Illustrative Group Structure</w:t>
      </w:r>
    </w:p>
    <w:p>
      <w:pPr>
        <w:pStyle w:val="BodyText"/>
        <w:bidi w:val="0"/>
        <w:jc w:val="left"/>
        <w:rPr/>
      </w:pPr>
      <w:r>
        <w:rPr/>
        <w:t>The MBMS system scope document illustrates the kind of structure the platform must support, using the Group's own name as the example:</w:t>
      </w:r>
    </w:p>
    <w:p>
      <w:pPr>
        <w:pStyle w:val="BodyText"/>
        <w:bidi w:val="0"/>
        <w:spacing w:before="150" w:after="150"/>
        <w:ind w:hanging="0" w:left="150" w:right="150"/>
        <w:jc w:val="left"/>
        <w:rPr>
          <w:rFonts w:ascii="Courier New;monospace" w:hAnsi="Courier New;monospace"/>
          <w:sz w:val="21"/>
          <w:bdr w:val="single" w:sz="2" w:space="8" w:color="C7D3E8"/>
          <w:shd w:fill="F2F5FA" w:val="clear"/>
        </w:rPr>
      </w:pPr>
      <w:r>
        <w:rPr>
          <w:rFonts w:ascii="Courier New;monospace" w:hAnsi="Courier New;monospace"/>
          <w:sz w:val="21"/>
          <w:bdr w:val="single" w:sz="2" w:space="8" w:color="C7D3E8"/>
          <w:shd w:fill="F2F5FA" w:val="clear"/>
        </w:rPr>
        <w:t>Morise Holdings Limited Subsidiary A Branch 1 Branch 2 Subsidiary B Branch 1 Branch 2 Subsidiary C Branch 1 Investment Company Associated Companies</w:t>
      </w:r>
    </w:p>
    <w:p>
      <w:pPr>
        <w:pStyle w:val="BodyText"/>
        <w:bidi w:val="0"/>
        <w:jc w:val="left"/>
        <w:rPr/>
      </w:pPr>
      <w:r>
        <w:rPr/>
        <w:t>Under this model, the Group CEO can see consolidated information across the entire structure, while the manager of Subsidiary A can only access the information belonging to Subsidiary A. This centralized-visibility-with-controlled-independence principle, drawn directly from the system scope document, is the defining design requirement for MBMS and underpins the role-based access approach described in Section 5 and Section 6.</w:t>
      </w:r>
    </w:p>
    <w:p>
      <w:pPr>
        <w:pStyle w:val="Heading3"/>
        <w:bidi w:val="0"/>
        <w:jc w:val="left"/>
        <w:rPr/>
      </w:pPr>
      <w:r>
        <w:rPr/>
        <w:t>2.3 Problem Statement</w:t>
      </w:r>
    </w:p>
    <w:p>
      <w:pPr>
        <w:pStyle w:val="BodyText"/>
        <w:numPr>
          <w:ilvl w:val="0"/>
          <w:numId w:val="1"/>
        </w:numPr>
        <w:tabs>
          <w:tab w:val="clear" w:pos="1134"/>
          <w:tab w:val="left" w:pos="709" w:leader="none"/>
        </w:tabs>
        <w:bidi w:val="0"/>
        <w:spacing w:before="0" w:after="0"/>
        <w:ind w:hanging="283" w:left="709"/>
        <w:jc w:val="left"/>
        <w:rPr/>
      </w:pPr>
      <w:r>
        <w:rPr/>
        <w:t xml:space="preserve">Financial, HR, sales, procurement and inventory information is fragmented across subsidiaries and branches, with no consolidated, real-time view for Group management. </w:t>
      </w:r>
    </w:p>
    <w:p>
      <w:pPr>
        <w:pStyle w:val="BodyText"/>
        <w:numPr>
          <w:ilvl w:val="0"/>
          <w:numId w:val="1"/>
        </w:numPr>
        <w:tabs>
          <w:tab w:val="clear" w:pos="1134"/>
          <w:tab w:val="left" w:pos="709" w:leader="none"/>
        </w:tabs>
        <w:bidi w:val="0"/>
        <w:spacing w:before="0" w:after="0"/>
        <w:ind w:hanging="283" w:left="709"/>
        <w:jc w:val="left"/>
        <w:rPr/>
      </w:pPr>
      <w:r>
        <w:rPr/>
        <w:t xml:space="preserve">Management cannot easily answer basic Group-level questions on demand — e.g. total Group cash position, subsidiary profitability, outstanding receivables/payables, headcount, or asset holdings — without manual collation. </w:t>
      </w:r>
    </w:p>
    <w:p>
      <w:pPr>
        <w:pStyle w:val="BodyText"/>
        <w:numPr>
          <w:ilvl w:val="0"/>
          <w:numId w:val="1"/>
        </w:numPr>
        <w:tabs>
          <w:tab w:val="clear" w:pos="1134"/>
          <w:tab w:val="left" w:pos="709" w:leader="none"/>
        </w:tabs>
        <w:bidi w:val="0"/>
        <w:spacing w:before="0" w:after="0"/>
        <w:ind w:hanging="283" w:left="709"/>
        <w:jc w:val="left"/>
        <w:rPr/>
      </w:pPr>
      <w:r>
        <w:rPr/>
        <w:t xml:space="preserve">Manual and disconnected processes (spreadsheets, paper approvals, informal records) increase the risk of errors, delayed decision-making, weak audit trails and inconsistent controls across companies. </w:t>
      </w:r>
    </w:p>
    <w:p>
      <w:pPr>
        <w:pStyle w:val="BodyText"/>
        <w:numPr>
          <w:ilvl w:val="0"/>
          <w:numId w:val="1"/>
        </w:numPr>
        <w:tabs>
          <w:tab w:val="clear" w:pos="1134"/>
          <w:tab w:val="left" w:pos="709" w:leader="none"/>
        </w:tabs>
        <w:bidi w:val="0"/>
        <w:spacing w:before="0" w:after="0"/>
        <w:ind w:hanging="283" w:left="709"/>
        <w:jc w:val="left"/>
        <w:rPr/>
      </w:pPr>
      <w:r>
        <w:rPr/>
        <w:t xml:space="preserve">There is no role-based access control to protect sensitive financial, HR and governance information as the organization grows and more staff require system access. </w:t>
      </w:r>
    </w:p>
    <w:p>
      <w:pPr>
        <w:pStyle w:val="BodyText"/>
        <w:numPr>
          <w:ilvl w:val="0"/>
          <w:numId w:val="1"/>
        </w:numPr>
        <w:tabs>
          <w:tab w:val="clear" w:pos="1134"/>
          <w:tab w:val="left" w:pos="709" w:leader="none"/>
        </w:tabs>
        <w:bidi w:val="0"/>
        <w:ind w:hanging="283" w:left="709"/>
        <w:jc w:val="left"/>
        <w:rPr/>
      </w:pPr>
      <w:r>
        <w:rPr/>
        <w:t xml:space="preserve">Board and governance functions (meetings, resolutions, minutes, action items) are currently managed outside any structured system, increasing the risk of lost institutional records. </w:t>
      </w:r>
    </w:p>
    <w:p>
      <w:pPr>
        <w:pStyle w:val="Heading3"/>
        <w:bidi w:val="0"/>
        <w:jc w:val="left"/>
        <w:rPr/>
      </w:pPr>
      <w:r>
        <w:rPr/>
        <w:t>2.4 Strategic Justification</w:t>
      </w:r>
    </w:p>
    <w:p>
      <w:pPr>
        <w:pStyle w:val="BodyText"/>
        <w:numPr>
          <w:ilvl w:val="0"/>
          <w:numId w:val="2"/>
        </w:numPr>
        <w:tabs>
          <w:tab w:val="clear" w:pos="1134"/>
          <w:tab w:val="left" w:pos="709" w:leader="none"/>
        </w:tabs>
        <w:bidi w:val="0"/>
        <w:spacing w:before="0" w:after="0"/>
        <w:ind w:hanging="283" w:left="709"/>
        <w:jc w:val="left"/>
        <w:rPr/>
      </w:pPr>
      <w:r>
        <w:rPr>
          <w:b/>
        </w:rPr>
        <w:t>Growth enablement:</w:t>
      </w:r>
      <w:r>
        <w:rPr/>
        <w:t xml:space="preserve"> A centralized platform is necessary to onboard new subsidiaries and branches without a proportional increase in administrative overhead. </w:t>
      </w:r>
    </w:p>
    <w:p>
      <w:pPr>
        <w:pStyle w:val="BodyText"/>
        <w:numPr>
          <w:ilvl w:val="0"/>
          <w:numId w:val="2"/>
        </w:numPr>
        <w:tabs>
          <w:tab w:val="clear" w:pos="1134"/>
          <w:tab w:val="left" w:pos="709" w:leader="none"/>
        </w:tabs>
        <w:bidi w:val="0"/>
        <w:spacing w:before="0" w:after="0"/>
        <w:ind w:hanging="283" w:left="709"/>
        <w:jc w:val="left"/>
        <w:rPr/>
      </w:pPr>
      <w:r>
        <w:rPr>
          <w:b/>
        </w:rPr>
        <w:t>Management visibility and control:</w:t>
      </w:r>
      <w:r>
        <w:rPr/>
        <w:t xml:space="preserve"> Consolidated dashboards and reports give the Board, Group CEO and CFO the real-time information needed for timely decisions and oversight. </w:t>
      </w:r>
    </w:p>
    <w:p>
      <w:pPr>
        <w:pStyle w:val="BodyText"/>
        <w:numPr>
          <w:ilvl w:val="0"/>
          <w:numId w:val="2"/>
        </w:numPr>
        <w:tabs>
          <w:tab w:val="clear" w:pos="1134"/>
          <w:tab w:val="left" w:pos="709" w:leader="none"/>
        </w:tabs>
        <w:bidi w:val="0"/>
        <w:spacing w:before="0" w:after="0"/>
        <w:ind w:hanging="283" w:left="709"/>
        <w:jc w:val="left"/>
        <w:rPr/>
      </w:pPr>
      <w:r>
        <w:rPr>
          <w:b/>
        </w:rPr>
        <w:t>Controlled subsidiary independence:</w:t>
      </w:r>
      <w:r>
        <w:rPr/>
        <w:t xml:space="preserve"> Each subsidiary/branch manager retains operational autonomy within their own scope, while the Group retains consolidated oversight — the model illustrated in Section 2.2. </w:t>
      </w:r>
    </w:p>
    <w:p>
      <w:pPr>
        <w:pStyle w:val="BodyText"/>
        <w:numPr>
          <w:ilvl w:val="0"/>
          <w:numId w:val="2"/>
        </w:numPr>
        <w:tabs>
          <w:tab w:val="clear" w:pos="1134"/>
          <w:tab w:val="left" w:pos="709" w:leader="none"/>
        </w:tabs>
        <w:bidi w:val="0"/>
        <w:spacing w:before="0" w:after="0"/>
        <w:ind w:hanging="283" w:left="709"/>
        <w:jc w:val="left"/>
        <w:rPr/>
      </w:pPr>
      <w:r>
        <w:rPr>
          <w:b/>
        </w:rPr>
        <w:t>Financial control and accountability:</w:t>
      </w:r>
      <w:r>
        <w:rPr/>
        <w:t xml:space="preserve"> Structured approval workflows (purchase, payment, leave, budget, expense, contract) and a full system audit trail strengthen internal controls and support external/statutory audit requirements. </w:t>
      </w:r>
    </w:p>
    <w:p>
      <w:pPr>
        <w:pStyle w:val="BodyText"/>
        <w:numPr>
          <w:ilvl w:val="0"/>
          <w:numId w:val="2"/>
        </w:numPr>
        <w:tabs>
          <w:tab w:val="clear" w:pos="1134"/>
          <w:tab w:val="left" w:pos="709" w:leader="none"/>
        </w:tabs>
        <w:bidi w:val="0"/>
        <w:spacing w:before="0" w:after="0"/>
        <w:ind w:hanging="283" w:left="709"/>
        <w:jc w:val="left"/>
        <w:rPr/>
      </w:pPr>
      <w:r>
        <w:rPr>
          <w:b/>
        </w:rPr>
        <w:t>Regulatory and tax compliance:</w:t>
      </w:r>
      <w:r>
        <w:rPr/>
        <w:t xml:space="preserve"> Built-in tax configuration (VAT, withholding tax, PAYE) and compliance tracking reduce the risk of missed statutory obligations across companies. </w:t>
      </w:r>
    </w:p>
    <w:p>
      <w:pPr>
        <w:pStyle w:val="BodyText"/>
        <w:numPr>
          <w:ilvl w:val="0"/>
          <w:numId w:val="2"/>
        </w:numPr>
        <w:tabs>
          <w:tab w:val="clear" w:pos="1134"/>
          <w:tab w:val="left" w:pos="709" w:leader="none"/>
        </w:tabs>
        <w:bidi w:val="0"/>
        <w:ind w:hanging="283" w:left="709"/>
        <w:jc w:val="left"/>
        <w:rPr/>
      </w:pPr>
      <w:r>
        <w:rPr>
          <w:b/>
        </w:rPr>
        <w:t>Return on investment:</w:t>
      </w:r>
      <w:r>
        <w:rPr/>
        <w:t xml:space="preserve"> Reduced manual reconciliation effort, faster financial close, fewer stock and asset losses through better tracking, and better-informed procurement and sales decisions. </w:t>
      </w:r>
    </w:p>
    <w:p>
      <w:pPr>
        <w:pStyle w:val="Heading3"/>
        <w:bidi w:val="0"/>
        <w:jc w:val="left"/>
        <w:rPr/>
      </w:pPr>
      <w:r>
        <w:rPr/>
        <w:t>2.5 Options Considered</w:t>
      </w:r>
    </w:p>
    <w:tbl>
      <w:tblPr>
        <w:tblW w:w="11339" w:type="dxa"/>
        <w:jc w:val="left"/>
        <w:tblInd w:w="28" w:type="dxa"/>
        <w:tblLayout w:type="fixed"/>
        <w:tblCellMar>
          <w:top w:w="28" w:type="dxa"/>
          <w:left w:w="28" w:type="dxa"/>
          <w:bottom w:w="28" w:type="dxa"/>
          <w:right w:w="28" w:type="dxa"/>
        </w:tblCellMar>
      </w:tblPr>
      <w:tblGrid>
        <w:gridCol w:w="3574"/>
        <w:gridCol w:w="7765"/>
      </w:tblGrid>
      <w:tr>
        <w:trPr/>
        <w:tc>
          <w:tcPr>
            <w:tcW w:w="3574" w:type="dxa"/>
            <w:tcBorders/>
            <w:vAlign w:val="center"/>
          </w:tcPr>
          <w:p>
            <w:pPr>
              <w:pStyle w:val="TableHeading"/>
              <w:suppressLineNumbers/>
              <w:shd w:fill="1F3864" w:val="clear"/>
              <w:bidi w:val="0"/>
              <w:spacing w:before="0" w:after="283"/>
              <w:jc w:val="left"/>
              <w:rPr/>
            </w:pPr>
            <w:r>
              <w:rPr/>
              <w:t>Option</w:t>
            </w:r>
          </w:p>
        </w:tc>
        <w:tc>
          <w:tcPr>
            <w:tcW w:w="7765" w:type="dxa"/>
            <w:tcBorders/>
            <w:vAlign w:val="center"/>
          </w:tcPr>
          <w:p>
            <w:pPr>
              <w:pStyle w:val="TableHeading"/>
              <w:suppressLineNumbers/>
              <w:shd w:fill="1F3864" w:val="clear"/>
              <w:bidi w:val="0"/>
              <w:spacing w:before="0" w:after="283"/>
              <w:jc w:val="left"/>
              <w:rPr/>
            </w:pPr>
            <w:r>
              <w:rPr/>
              <w:t>Assessment</w:t>
            </w:r>
          </w:p>
        </w:tc>
      </w:tr>
      <w:tr>
        <w:trPr/>
        <w:tc>
          <w:tcPr>
            <w:tcW w:w="3574" w:type="dxa"/>
            <w:tcBorders/>
            <w:vAlign w:val="center"/>
          </w:tcPr>
          <w:p>
            <w:pPr>
              <w:pStyle w:val="TableContents"/>
              <w:bidi w:val="0"/>
              <w:spacing w:before="0" w:after="283"/>
              <w:jc w:val="left"/>
              <w:rPr/>
            </w:pPr>
            <w:r>
              <w:rPr/>
              <w:t>Do nothing (continue with manual/spreadsheet processes)</w:t>
            </w:r>
          </w:p>
        </w:tc>
        <w:tc>
          <w:tcPr>
            <w:tcW w:w="7765" w:type="dxa"/>
            <w:tcBorders/>
            <w:vAlign w:val="center"/>
          </w:tcPr>
          <w:p>
            <w:pPr>
              <w:pStyle w:val="TableContents"/>
              <w:bidi w:val="0"/>
              <w:spacing w:before="0" w:after="283"/>
              <w:jc w:val="left"/>
              <w:rPr/>
            </w:pPr>
            <w:r>
              <w:rPr/>
              <w:t>Not viable beyond the short term — does not scale with the Group's growing number of companies, branches and transactions; sustains current audit, control and visibility weaknesses.</w:t>
            </w:r>
          </w:p>
        </w:tc>
      </w:tr>
      <w:tr>
        <w:trPr/>
        <w:tc>
          <w:tcPr>
            <w:tcW w:w="3574" w:type="dxa"/>
            <w:tcBorders/>
            <w:vAlign w:val="center"/>
          </w:tcPr>
          <w:p>
            <w:pPr>
              <w:pStyle w:val="TableContents"/>
              <w:bidi w:val="0"/>
              <w:spacing w:before="0" w:after="283"/>
              <w:jc w:val="left"/>
              <w:rPr/>
            </w:pPr>
            <w:r>
              <w:rPr/>
              <w:t>Purchase multiple off-the-shelf point solutions (separate accounting, HR, inventory tools)</w:t>
            </w:r>
          </w:p>
        </w:tc>
        <w:tc>
          <w:tcPr>
            <w:tcW w:w="7765" w:type="dxa"/>
            <w:tcBorders/>
            <w:vAlign w:val="center"/>
          </w:tcPr>
          <w:p>
            <w:pPr>
              <w:pStyle w:val="TableContents"/>
              <w:bidi w:val="0"/>
              <w:spacing w:before="0" w:after="283"/>
              <w:jc w:val="left"/>
              <w:rPr/>
            </w:pPr>
            <w:r>
              <w:rPr/>
              <w:t>Addresses individual functions but does not provide the multi-company consolidation, inter-company transaction handling or single audit trail the Group needs; creates integration overhead and duplicate licensing costs.</w:t>
            </w:r>
          </w:p>
        </w:tc>
      </w:tr>
      <w:tr>
        <w:trPr/>
        <w:tc>
          <w:tcPr>
            <w:tcW w:w="3574" w:type="dxa"/>
            <w:tcBorders/>
            <w:vAlign w:val="center"/>
          </w:tcPr>
          <w:p>
            <w:pPr>
              <w:pStyle w:val="TableContents"/>
              <w:bidi w:val="0"/>
              <w:spacing w:before="0" w:after="283"/>
              <w:jc w:val="left"/>
              <w:rPr/>
            </w:pPr>
            <w:r>
              <w:rPr/>
              <w:t>Design and build a purpose-built, centralized Group system (recommended)</w:t>
            </w:r>
          </w:p>
        </w:tc>
        <w:tc>
          <w:tcPr>
            <w:tcW w:w="7765" w:type="dxa"/>
            <w:tcBorders/>
            <w:vAlign w:val="center"/>
          </w:tcPr>
          <w:p>
            <w:pPr>
              <w:pStyle w:val="TableContents"/>
              <w:bidi w:val="0"/>
              <w:spacing w:before="0" w:after="283"/>
              <w:jc w:val="left"/>
              <w:rPr/>
            </w:pPr>
            <w:r>
              <w:rPr/>
              <w:t>Directly addresses the Group's multi-company/multi-branch structure, allows phased delivery aligned to business priority, and can be extended as the Group grows. Requires greater upfront investment in requirements, design and development.</w:t>
            </w:r>
          </w:p>
        </w:tc>
      </w:tr>
    </w:tbl>
    <w:p>
      <w:pPr>
        <w:pStyle w:val="BodyText"/>
        <w:bidi w:val="0"/>
        <w:jc w:val="left"/>
        <w:rPr/>
      </w:pPr>
      <w:r>
        <w:rPr/>
        <w:t>This Charter recommends proceeding with the purpose-built option, delivered incrementally as set out in Section 4 and Section 9, with a formal Feasibility Study to follow and confirm technical, operational and economic viability before full-scale development commitment.</w:t>
      </w:r>
    </w:p>
    <w:p>
      <w:pPr>
        <w:pStyle w:val="Heading3"/>
        <w:bidi w:val="0"/>
        <w:jc w:val="left"/>
        <w:rPr/>
      </w:pPr>
      <w:r>
        <w:rPr/>
        <w:t>2.6 What the System Is Ultimately Meant to Answer</w:t>
      </w:r>
    </w:p>
    <w:p>
      <w:pPr>
        <w:pStyle w:val="BodyText"/>
        <w:bidi w:val="0"/>
        <w:jc w:val="left"/>
        <w:rPr/>
      </w:pPr>
      <w:r>
        <w:rPr/>
        <w:t>The MBMS system scope document sets out the final objective of the platform in concrete terms: management should be able to answer questions such as those below at any time, without manual collation. This Charter uses that same list to show the Board precisely which questions each phase of the roadmap (Section 4.1) will make answerable — so expectations for the Phase 1 MVP are set correctly from the outset.</w:t>
      </w:r>
    </w:p>
    <w:tbl>
      <w:tblPr>
        <w:tblW w:w="11339" w:type="dxa"/>
        <w:jc w:val="left"/>
        <w:tblInd w:w="28" w:type="dxa"/>
        <w:tblLayout w:type="fixed"/>
        <w:tblCellMar>
          <w:top w:w="28" w:type="dxa"/>
          <w:left w:w="28" w:type="dxa"/>
          <w:bottom w:w="28" w:type="dxa"/>
          <w:right w:w="28" w:type="dxa"/>
        </w:tblCellMar>
      </w:tblPr>
      <w:tblGrid>
        <w:gridCol w:w="6672"/>
        <w:gridCol w:w="4667"/>
      </w:tblGrid>
      <w:tr>
        <w:trPr/>
        <w:tc>
          <w:tcPr>
            <w:tcW w:w="6672" w:type="dxa"/>
            <w:tcBorders/>
            <w:vAlign w:val="center"/>
          </w:tcPr>
          <w:p>
            <w:pPr>
              <w:pStyle w:val="TableHeading"/>
              <w:suppressLineNumbers/>
              <w:shd w:fill="1F3864" w:val="clear"/>
              <w:bidi w:val="0"/>
              <w:spacing w:before="0" w:after="283"/>
              <w:jc w:val="left"/>
              <w:rPr/>
            </w:pPr>
            <w:r>
              <w:rPr/>
              <w:t>Management Question (verbatim from the system scope document)</w:t>
            </w:r>
          </w:p>
        </w:tc>
        <w:tc>
          <w:tcPr>
            <w:tcW w:w="4667" w:type="dxa"/>
            <w:tcBorders/>
            <w:vAlign w:val="center"/>
          </w:tcPr>
          <w:p>
            <w:pPr>
              <w:pStyle w:val="TableHeading"/>
              <w:suppressLineNumbers/>
              <w:shd w:fill="1F3864" w:val="clear"/>
              <w:bidi w:val="0"/>
              <w:spacing w:before="0" w:after="283"/>
              <w:jc w:val="left"/>
              <w:rPr/>
            </w:pPr>
            <w:r>
              <w:rPr/>
              <w:t>Answerable From</w:t>
            </w:r>
          </w:p>
        </w:tc>
      </w:tr>
      <w:tr>
        <w:trPr/>
        <w:tc>
          <w:tcPr>
            <w:tcW w:w="6672" w:type="dxa"/>
            <w:tcBorders/>
            <w:vAlign w:val="center"/>
          </w:tcPr>
          <w:p>
            <w:pPr>
              <w:pStyle w:val="TableContents"/>
              <w:bidi w:val="0"/>
              <w:spacing w:before="0" w:after="283"/>
              <w:jc w:val="left"/>
              <w:rPr/>
            </w:pPr>
            <w:r>
              <w:rPr/>
              <w:t>How many employees does the group have?</w:t>
            </w:r>
          </w:p>
        </w:tc>
        <w:tc>
          <w:tcPr>
            <w:tcW w:w="4667" w:type="dxa"/>
            <w:tcBorders/>
            <w:vAlign w:val="center"/>
          </w:tcPr>
          <w:p>
            <w:pPr>
              <w:pStyle w:val="TableContents"/>
              <w:bidi w:val="0"/>
              <w:spacing w:before="0" w:after="283"/>
              <w:jc w:val="left"/>
              <w:rPr/>
            </w:pPr>
            <w:r>
              <w:rPr>
                <w:b/>
              </w:rPr>
              <w:t>Phase 1</w:t>
            </w:r>
            <w:r>
              <w:rPr/>
              <w:t xml:space="preserve"> — basic employee records and dashboard headcount</w:t>
            </w:r>
          </w:p>
        </w:tc>
      </w:tr>
      <w:tr>
        <w:trPr/>
        <w:tc>
          <w:tcPr>
            <w:tcW w:w="6672" w:type="dxa"/>
            <w:tcBorders/>
            <w:vAlign w:val="center"/>
          </w:tcPr>
          <w:p>
            <w:pPr>
              <w:pStyle w:val="TableContents"/>
              <w:bidi w:val="0"/>
              <w:spacing w:before="0" w:after="283"/>
              <w:jc w:val="left"/>
              <w:rPr/>
            </w:pPr>
            <w:r>
              <w:rPr/>
              <w:t>How much does each company owe suppliers? / How much do customers owe the group?</w:t>
            </w:r>
          </w:p>
        </w:tc>
        <w:tc>
          <w:tcPr>
            <w:tcW w:w="4667" w:type="dxa"/>
            <w:tcBorders/>
            <w:vAlign w:val="center"/>
          </w:tcPr>
          <w:p>
            <w:pPr>
              <w:pStyle w:val="TableContents"/>
              <w:bidi w:val="0"/>
              <w:spacing w:before="0" w:after="283"/>
              <w:jc w:val="left"/>
              <w:rPr/>
            </w:pPr>
            <w:r>
              <w:rPr/>
              <w:t>Phase 2 — once sales and procurement transactions exist</w:t>
            </w:r>
          </w:p>
        </w:tc>
      </w:tr>
      <w:tr>
        <w:trPr/>
        <w:tc>
          <w:tcPr>
            <w:tcW w:w="6672" w:type="dxa"/>
            <w:tcBorders/>
            <w:vAlign w:val="center"/>
          </w:tcPr>
          <w:p>
            <w:pPr>
              <w:pStyle w:val="TableContents"/>
              <w:bidi w:val="0"/>
              <w:spacing w:before="0" w:after="283"/>
              <w:jc w:val="left"/>
              <w:rPr/>
            </w:pPr>
            <w:r>
              <w:rPr/>
              <w:t>Which stock items are running low?</w:t>
            </w:r>
          </w:p>
        </w:tc>
        <w:tc>
          <w:tcPr>
            <w:tcW w:w="4667" w:type="dxa"/>
            <w:tcBorders/>
            <w:vAlign w:val="center"/>
          </w:tcPr>
          <w:p>
            <w:pPr>
              <w:pStyle w:val="TableContents"/>
              <w:bidi w:val="0"/>
              <w:spacing w:before="0" w:after="283"/>
              <w:jc w:val="left"/>
              <w:rPr/>
            </w:pPr>
            <w:r>
              <w:rPr/>
              <w:t>Phase 2 — Inventory</w:t>
            </w:r>
          </w:p>
        </w:tc>
      </w:tr>
      <w:tr>
        <w:trPr/>
        <w:tc>
          <w:tcPr>
            <w:tcW w:w="6672" w:type="dxa"/>
            <w:tcBorders/>
            <w:vAlign w:val="center"/>
          </w:tcPr>
          <w:p>
            <w:pPr>
              <w:pStyle w:val="TableContents"/>
              <w:bidi w:val="0"/>
              <w:spacing w:before="0" w:after="283"/>
              <w:jc w:val="left"/>
              <w:rPr/>
            </w:pPr>
            <w:r>
              <w:rPr/>
              <w:t>Which projects are profitable? What has each department spent?</w:t>
            </w:r>
          </w:p>
        </w:tc>
        <w:tc>
          <w:tcPr>
            <w:tcW w:w="4667" w:type="dxa"/>
            <w:tcBorders/>
            <w:vAlign w:val="center"/>
          </w:tcPr>
          <w:p>
            <w:pPr>
              <w:pStyle w:val="TableContents"/>
              <w:bidi w:val="0"/>
              <w:spacing w:before="0" w:after="283"/>
              <w:jc w:val="left"/>
              <w:rPr/>
            </w:pPr>
            <w:r>
              <w:rPr/>
              <w:t>Phase 2 — Projects and Expenses</w:t>
            </w:r>
          </w:p>
        </w:tc>
      </w:tr>
      <w:tr>
        <w:trPr/>
        <w:tc>
          <w:tcPr>
            <w:tcW w:w="6672" w:type="dxa"/>
            <w:tcBorders/>
            <w:vAlign w:val="center"/>
          </w:tcPr>
          <w:p>
            <w:pPr>
              <w:pStyle w:val="TableContents"/>
              <w:bidi w:val="0"/>
              <w:spacing w:before="0" w:after="283"/>
              <w:jc w:val="left"/>
              <w:rPr/>
            </w:pPr>
            <w:r>
              <w:rPr/>
              <w:t>How much money does the group have? What is spent on salaries? How are group investments performing? What are current liabilities?</w:t>
            </w:r>
          </w:p>
        </w:tc>
        <w:tc>
          <w:tcPr>
            <w:tcW w:w="4667" w:type="dxa"/>
            <w:tcBorders/>
            <w:vAlign w:val="center"/>
          </w:tcPr>
          <w:p>
            <w:pPr>
              <w:pStyle w:val="TableContents"/>
              <w:bidi w:val="0"/>
              <w:spacing w:before="0" w:after="283"/>
              <w:jc w:val="left"/>
              <w:rPr/>
            </w:pPr>
            <w:r>
              <w:rPr/>
              <w:t>Phase 3 — Banking, Payroll, Investments, consolidated accounting</w:t>
            </w:r>
          </w:p>
        </w:tc>
      </w:tr>
      <w:tr>
        <w:trPr/>
        <w:tc>
          <w:tcPr>
            <w:tcW w:w="6672" w:type="dxa"/>
            <w:tcBorders/>
            <w:vAlign w:val="center"/>
          </w:tcPr>
          <w:p>
            <w:pPr>
              <w:pStyle w:val="TableContents"/>
              <w:bidi w:val="0"/>
              <w:spacing w:before="0" w:after="283"/>
              <w:jc w:val="left"/>
              <w:rPr/>
            </w:pPr>
            <w:r>
              <w:rPr/>
              <w:t>Which subsidiary is making the most/least profit? What is the consolidated financial position of the entire group?</w:t>
            </w:r>
          </w:p>
        </w:tc>
        <w:tc>
          <w:tcPr>
            <w:tcW w:w="4667" w:type="dxa"/>
            <w:tcBorders/>
            <w:vAlign w:val="center"/>
          </w:tcPr>
          <w:p>
            <w:pPr>
              <w:pStyle w:val="TableContents"/>
              <w:bidi w:val="0"/>
              <w:spacing w:before="0" w:after="283"/>
              <w:jc w:val="left"/>
              <w:rPr/>
            </w:pPr>
            <w:r>
              <w:rPr/>
              <w:t>Phase 3 — Consolidated accounting and financial statements</w:t>
            </w:r>
          </w:p>
        </w:tc>
      </w:tr>
      <w:tr>
        <w:trPr/>
        <w:tc>
          <w:tcPr>
            <w:tcW w:w="6672" w:type="dxa"/>
            <w:tcBorders/>
            <w:vAlign w:val="center"/>
          </w:tcPr>
          <w:p>
            <w:pPr>
              <w:pStyle w:val="TableContents"/>
              <w:bidi w:val="0"/>
              <w:spacing w:before="0" w:after="283"/>
              <w:jc w:val="left"/>
              <w:rPr/>
            </w:pPr>
            <w:r>
              <w:rPr/>
              <w:t>What assets does each company own? Which vehicles require servicing?</w:t>
            </w:r>
          </w:p>
        </w:tc>
        <w:tc>
          <w:tcPr>
            <w:tcW w:w="4667" w:type="dxa"/>
            <w:tcBorders/>
            <w:vAlign w:val="center"/>
          </w:tcPr>
          <w:p>
            <w:pPr>
              <w:pStyle w:val="TableContents"/>
              <w:bidi w:val="0"/>
              <w:spacing w:before="0" w:after="283"/>
              <w:jc w:val="left"/>
              <w:rPr/>
            </w:pPr>
            <w:r>
              <w:rPr/>
              <w:t>Phase 2 — Asset and Fleet management</w:t>
            </w:r>
          </w:p>
        </w:tc>
      </w:tr>
      <w:tr>
        <w:trPr/>
        <w:tc>
          <w:tcPr>
            <w:tcW w:w="6672" w:type="dxa"/>
            <w:tcBorders/>
            <w:vAlign w:val="center"/>
          </w:tcPr>
          <w:p>
            <w:pPr>
              <w:pStyle w:val="TableContents"/>
              <w:bidi w:val="0"/>
              <w:spacing w:before="0" w:after="283"/>
              <w:jc w:val="left"/>
              <w:rPr/>
            </w:pPr>
            <w:r>
              <w:rPr/>
              <w:t>Which contracts are about to expire?</w:t>
            </w:r>
          </w:p>
        </w:tc>
        <w:tc>
          <w:tcPr>
            <w:tcW w:w="4667" w:type="dxa"/>
            <w:tcBorders/>
            <w:vAlign w:val="center"/>
          </w:tcPr>
          <w:p>
            <w:pPr>
              <w:pStyle w:val="TableContents"/>
              <w:bidi w:val="0"/>
              <w:spacing w:before="0" w:after="283"/>
              <w:jc w:val="left"/>
              <w:rPr/>
            </w:pPr>
            <w:r>
              <w:rPr/>
              <w:t>Phase 4 — Contract management</w:t>
            </w:r>
          </w:p>
        </w:tc>
      </w:tr>
      <w:tr>
        <w:trPr/>
        <w:tc>
          <w:tcPr>
            <w:tcW w:w="6672" w:type="dxa"/>
            <w:tcBorders/>
            <w:vAlign w:val="center"/>
          </w:tcPr>
          <w:p>
            <w:pPr>
              <w:pStyle w:val="TableContents"/>
              <w:bidi w:val="0"/>
              <w:spacing w:before="0" w:after="283"/>
              <w:jc w:val="left"/>
              <w:rPr/>
            </w:pPr>
            <w:r>
              <w:rPr/>
              <w:t>Which payments require approval?</w:t>
            </w:r>
          </w:p>
        </w:tc>
        <w:tc>
          <w:tcPr>
            <w:tcW w:w="4667" w:type="dxa"/>
            <w:tcBorders/>
            <w:vAlign w:val="center"/>
          </w:tcPr>
          <w:p>
            <w:pPr>
              <w:pStyle w:val="TableContents"/>
              <w:bidi w:val="0"/>
              <w:spacing w:before="0" w:after="283"/>
              <w:jc w:val="left"/>
              <w:rPr/>
            </w:pPr>
            <w:r>
              <w:rPr/>
              <w:t>Phase 2–4 — as approval-driven workflows (purchasing, expenses, contracts) are built</w:t>
            </w:r>
          </w:p>
        </w:tc>
      </w:tr>
    </w:tbl>
    <w:p>
      <w:pPr>
        <w:pStyle w:val="BodyText"/>
        <w:bidi w:val="0"/>
        <w:jc w:val="left"/>
        <w:rPr/>
      </w:pPr>
      <w:r>
        <w:rPr/>
        <w:t xml:space="preserve">Only the first of these — Group headcount — is answerable directly from the Phase 1 MVP as scoped in Section 4.1. This is expected and appropriate: Phase 1 exists to build the organizational, identity and financial </w:t>
      </w:r>
      <w:r>
        <w:rPr>
          <w:i/>
        </w:rPr>
        <w:t>foundation</w:t>
      </w:r>
      <w:r>
        <w:rPr/>
        <w:t xml:space="preserve"> the later phases depend on, not to deliver the full management-question set immediately. The Board should read Phase 1 approval as the first step toward this full objective, not the objective itself.</w:t>
      </w:r>
    </w:p>
    <w:p>
      <w:pPr>
        <w:pStyle w:val="Heading2"/>
        <w:bidi w:val="0"/>
        <w:jc w:val="left"/>
        <w:rPr/>
      </w:pPr>
      <w:r>
        <w:rPr/>
        <w:t>3. Project Goals and Objectives</w:t>
      </w:r>
    </w:p>
    <w:p>
      <w:pPr>
        <w:pStyle w:val="BodyText"/>
        <w:bidi w:val="0"/>
        <w:jc w:val="left"/>
        <w:rPr/>
      </w:pPr>
      <w:r>
        <w:rPr/>
        <w:t>The MBMS project exists to deliver the following objectives:</w:t>
      </w:r>
    </w:p>
    <w:p>
      <w:pPr>
        <w:pStyle w:val="BodyText"/>
        <w:numPr>
          <w:ilvl w:val="0"/>
          <w:numId w:val="3"/>
        </w:numPr>
        <w:tabs>
          <w:tab w:val="clear" w:pos="1134"/>
          <w:tab w:val="left" w:pos="709" w:leader="none"/>
        </w:tabs>
        <w:bidi w:val="0"/>
        <w:spacing w:before="0" w:after="0"/>
        <w:ind w:hanging="283" w:left="709"/>
        <w:jc w:val="left"/>
        <w:rPr/>
      </w:pPr>
      <w:r>
        <w:rPr>
          <w:b/>
        </w:rPr>
        <w:t>Centralize</w:t>
      </w:r>
      <w:r>
        <w:rPr/>
        <w:t xml:space="preserve"> company, branch, department, employee, customer, supplier, asset, financial and project data for the entire Group in a single system of record. </w:t>
      </w:r>
    </w:p>
    <w:p>
      <w:pPr>
        <w:pStyle w:val="BodyText"/>
        <w:numPr>
          <w:ilvl w:val="0"/>
          <w:numId w:val="3"/>
        </w:numPr>
        <w:tabs>
          <w:tab w:val="clear" w:pos="1134"/>
          <w:tab w:val="left" w:pos="709" w:leader="none"/>
        </w:tabs>
        <w:bidi w:val="0"/>
        <w:spacing w:before="0" w:after="0"/>
        <w:ind w:hanging="283" w:left="709"/>
        <w:jc w:val="left"/>
        <w:rPr/>
      </w:pPr>
      <w:r>
        <w:rPr>
          <w:b/>
        </w:rPr>
        <w:t>Consolidate</w:t>
      </w:r>
      <w:r>
        <w:rPr/>
        <w:t xml:space="preserve"> financial and operational reporting across all subsidiaries for the Board and Group executives, while preserving subsidiary-level operational independence. </w:t>
      </w:r>
    </w:p>
    <w:p>
      <w:pPr>
        <w:pStyle w:val="BodyText"/>
        <w:numPr>
          <w:ilvl w:val="0"/>
          <w:numId w:val="3"/>
        </w:numPr>
        <w:tabs>
          <w:tab w:val="clear" w:pos="1134"/>
          <w:tab w:val="left" w:pos="709" w:leader="none"/>
        </w:tabs>
        <w:bidi w:val="0"/>
        <w:spacing w:before="0" w:after="0"/>
        <w:ind w:hanging="283" w:left="709"/>
        <w:jc w:val="left"/>
        <w:rPr/>
      </w:pPr>
      <w:r>
        <w:rPr>
          <w:b/>
        </w:rPr>
        <w:t>Automate</w:t>
      </w:r>
      <w:r>
        <w:rPr/>
        <w:t xml:space="preserve"> core business workflows — procurement, sales, HR, expenses, approvals and contracts — end to end, replacing manual and paper-based processes. </w:t>
      </w:r>
    </w:p>
    <w:p>
      <w:pPr>
        <w:pStyle w:val="BodyText"/>
        <w:numPr>
          <w:ilvl w:val="0"/>
          <w:numId w:val="3"/>
        </w:numPr>
        <w:tabs>
          <w:tab w:val="clear" w:pos="1134"/>
          <w:tab w:val="left" w:pos="709" w:leader="none"/>
        </w:tabs>
        <w:bidi w:val="0"/>
        <w:spacing w:before="0" w:after="0"/>
        <w:ind w:hanging="283" w:left="709"/>
        <w:jc w:val="left"/>
        <w:rPr/>
      </w:pPr>
      <w:r>
        <w:rPr>
          <w:b/>
        </w:rPr>
        <w:t>Strengthen governance and control</w:t>
      </w:r>
      <w:r>
        <w:rPr/>
        <w:t xml:space="preserve"> through role-based access control, configurable approval workflows and a complete, tamper-evident audit trail of system activity. </w:t>
      </w:r>
    </w:p>
    <w:p>
      <w:pPr>
        <w:pStyle w:val="BodyText"/>
        <w:numPr>
          <w:ilvl w:val="0"/>
          <w:numId w:val="3"/>
        </w:numPr>
        <w:tabs>
          <w:tab w:val="clear" w:pos="1134"/>
          <w:tab w:val="left" w:pos="709" w:leader="none"/>
        </w:tabs>
        <w:bidi w:val="0"/>
        <w:spacing w:before="0" w:after="0"/>
        <w:ind w:hanging="283" w:left="709"/>
        <w:jc w:val="left"/>
        <w:rPr/>
      </w:pPr>
      <w:r>
        <w:rPr>
          <w:b/>
        </w:rPr>
        <w:t>Support compliance</w:t>
      </w:r>
      <w:r>
        <w:rPr/>
        <w:t xml:space="preserve"> with applicable tax, statutory and regulatory obligations across the jurisdictions in which Group companies operate. </w:t>
      </w:r>
    </w:p>
    <w:p>
      <w:pPr>
        <w:pStyle w:val="BodyText"/>
        <w:numPr>
          <w:ilvl w:val="0"/>
          <w:numId w:val="3"/>
        </w:numPr>
        <w:tabs>
          <w:tab w:val="clear" w:pos="1134"/>
          <w:tab w:val="left" w:pos="709" w:leader="none"/>
        </w:tabs>
        <w:bidi w:val="0"/>
        <w:spacing w:before="0" w:after="0"/>
        <w:ind w:hanging="283" w:left="709"/>
        <w:jc w:val="left"/>
        <w:rPr/>
      </w:pPr>
      <w:r>
        <w:rPr>
          <w:b/>
        </w:rPr>
        <w:t>Enable data-driven decisions</w:t>
      </w:r>
      <w:r>
        <w:rPr/>
        <w:t xml:space="preserve"> through real-time dashboards and analytics tailored to each management role (CEO, CFO, HR, Procurement, Operations). </w:t>
      </w:r>
    </w:p>
    <w:p>
      <w:pPr>
        <w:pStyle w:val="BodyText"/>
        <w:numPr>
          <w:ilvl w:val="0"/>
          <w:numId w:val="3"/>
        </w:numPr>
        <w:tabs>
          <w:tab w:val="clear" w:pos="1134"/>
          <w:tab w:val="left" w:pos="709" w:leader="none"/>
        </w:tabs>
        <w:bidi w:val="0"/>
        <w:ind w:hanging="283" w:left="709"/>
        <w:jc w:val="left"/>
        <w:rPr/>
      </w:pPr>
      <w:r>
        <w:rPr>
          <w:b/>
        </w:rPr>
        <w:t>Deliver incrementally</w:t>
      </w:r>
      <w:r>
        <w:rPr/>
        <w:t xml:space="preserve">, starting with a stable operational core (Phase 1 / MVP), so that business value is realized early and risk is managed through controlled releases rather than a single large deployment. </w:t>
      </w:r>
    </w:p>
    <w:p>
      <w:pPr>
        <w:pStyle w:val="Heading2"/>
        <w:bidi w:val="0"/>
        <w:jc w:val="left"/>
        <w:rPr/>
      </w:pPr>
      <w:r>
        <w:rPr/>
        <w:t>4. Project Scope</w:t>
      </w:r>
    </w:p>
    <w:p>
      <w:pPr>
        <w:pStyle w:val="Heading3"/>
        <w:bidi w:val="0"/>
        <w:jc w:val="left"/>
        <w:rPr/>
      </w:pPr>
      <w:r>
        <w:rPr/>
        <w:t>4.1 In Scope — Phased Delivery</w:t>
      </w:r>
    </w:p>
    <w:p>
      <w:pPr>
        <w:pStyle w:val="BodyText"/>
        <w:bidi w:val="0"/>
        <w:jc w:val="left"/>
        <w:rPr/>
      </w:pPr>
      <w:r>
        <w:rPr/>
        <w:t>Given the size of the full system, delivery is phased. The recommended phasing, consistent with the Group's software development procedures and the system scope document's own "Recommended Development Approach," is as follows:</w:t>
      </w:r>
    </w:p>
    <w:tbl>
      <w:tblPr>
        <w:tblW w:w="11339" w:type="dxa"/>
        <w:jc w:val="left"/>
        <w:tblInd w:w="28" w:type="dxa"/>
        <w:tblLayout w:type="fixed"/>
        <w:tblCellMar>
          <w:top w:w="28" w:type="dxa"/>
          <w:left w:w="28" w:type="dxa"/>
          <w:bottom w:w="28" w:type="dxa"/>
          <w:right w:w="28" w:type="dxa"/>
        </w:tblCellMar>
      </w:tblPr>
      <w:tblGrid>
        <w:gridCol w:w="2181"/>
        <w:gridCol w:w="2100"/>
        <w:gridCol w:w="7058"/>
      </w:tblGrid>
      <w:tr>
        <w:trPr/>
        <w:tc>
          <w:tcPr>
            <w:tcW w:w="2181" w:type="dxa"/>
            <w:tcBorders/>
            <w:vAlign w:val="center"/>
          </w:tcPr>
          <w:p>
            <w:pPr>
              <w:pStyle w:val="TableHeading"/>
              <w:suppressLineNumbers/>
              <w:shd w:fill="1F3864" w:val="clear"/>
              <w:bidi w:val="0"/>
              <w:spacing w:before="0" w:after="283"/>
              <w:jc w:val="left"/>
              <w:rPr/>
            </w:pPr>
            <w:r>
              <w:rPr/>
              <w:t>Phase</w:t>
            </w:r>
          </w:p>
        </w:tc>
        <w:tc>
          <w:tcPr>
            <w:tcW w:w="2100" w:type="dxa"/>
            <w:tcBorders/>
            <w:vAlign w:val="center"/>
          </w:tcPr>
          <w:p>
            <w:pPr>
              <w:pStyle w:val="TableHeading"/>
              <w:suppressLineNumbers/>
              <w:shd w:fill="1F3864" w:val="clear"/>
              <w:bidi w:val="0"/>
              <w:spacing w:before="0" w:after="283"/>
              <w:jc w:val="left"/>
              <w:rPr/>
            </w:pPr>
            <w:r>
              <w:rPr/>
              <w:t>Focus</w:t>
            </w:r>
          </w:p>
        </w:tc>
        <w:tc>
          <w:tcPr>
            <w:tcW w:w="7058" w:type="dxa"/>
            <w:tcBorders/>
            <w:vAlign w:val="center"/>
          </w:tcPr>
          <w:p>
            <w:pPr>
              <w:pStyle w:val="TableHeading"/>
              <w:suppressLineNumbers/>
              <w:shd w:fill="1F3864" w:val="clear"/>
              <w:bidi w:val="0"/>
              <w:spacing w:before="0" w:after="283"/>
              <w:jc w:val="left"/>
              <w:rPr/>
            </w:pPr>
            <w:r>
              <w:rPr/>
              <w:t>Representative Modules</w:t>
            </w:r>
          </w:p>
        </w:tc>
      </w:tr>
      <w:tr>
        <w:trPr/>
        <w:tc>
          <w:tcPr>
            <w:tcW w:w="2181" w:type="dxa"/>
            <w:tcBorders/>
            <w:vAlign w:val="center"/>
          </w:tcPr>
          <w:p>
            <w:pPr>
              <w:pStyle w:val="TableContents"/>
              <w:bidi w:val="0"/>
              <w:spacing w:before="0" w:after="283"/>
              <w:jc w:val="left"/>
              <w:rPr/>
            </w:pPr>
            <w:r>
              <w:rPr/>
              <w:t>Phase 1 — Core (MVP)</w:t>
            </w:r>
          </w:p>
        </w:tc>
        <w:tc>
          <w:tcPr>
            <w:tcW w:w="2100" w:type="dxa"/>
            <w:tcBorders/>
            <w:vAlign w:val="center"/>
          </w:tcPr>
          <w:p>
            <w:pPr>
              <w:pStyle w:val="TableContents"/>
              <w:bidi w:val="0"/>
              <w:spacing w:before="0" w:after="283"/>
              <w:jc w:val="left"/>
              <w:rPr/>
            </w:pPr>
            <w:r>
              <w:rPr/>
              <w:t>Foundational platform</w:t>
            </w:r>
          </w:p>
        </w:tc>
        <w:tc>
          <w:tcPr>
            <w:tcW w:w="7058" w:type="dxa"/>
            <w:tcBorders/>
            <w:vAlign w:val="center"/>
          </w:tcPr>
          <w:p>
            <w:pPr>
              <w:pStyle w:val="TableContents"/>
              <w:bidi w:val="0"/>
              <w:spacing w:before="0" w:after="283"/>
              <w:jc w:val="left"/>
              <w:rPr/>
            </w:pPr>
            <w:r>
              <w:rPr/>
              <w:t>Authentication; Company/Group, branch &amp; department management; User, role &amp; permission management; Dashboard; Employees; Customers; Suppliers; Products; Basic accounting</w:t>
            </w:r>
          </w:p>
        </w:tc>
      </w:tr>
      <w:tr>
        <w:trPr/>
        <w:tc>
          <w:tcPr>
            <w:tcW w:w="2181" w:type="dxa"/>
            <w:tcBorders/>
            <w:vAlign w:val="center"/>
          </w:tcPr>
          <w:p>
            <w:pPr>
              <w:pStyle w:val="TableContents"/>
              <w:bidi w:val="0"/>
              <w:spacing w:before="0" w:after="283"/>
              <w:jc w:val="left"/>
              <w:rPr/>
            </w:pPr>
            <w:r>
              <w:rPr/>
              <w:t>Phase 2 — Business Operations</w:t>
            </w:r>
          </w:p>
        </w:tc>
        <w:tc>
          <w:tcPr>
            <w:tcW w:w="2100" w:type="dxa"/>
            <w:tcBorders/>
            <w:vAlign w:val="center"/>
          </w:tcPr>
          <w:p>
            <w:pPr>
              <w:pStyle w:val="TableContents"/>
              <w:bidi w:val="0"/>
              <w:spacing w:before="0" w:after="283"/>
              <w:jc w:val="left"/>
              <w:rPr/>
            </w:pPr>
            <w:r>
              <w:rPr/>
              <w:t>Day-to-day operations</w:t>
            </w:r>
          </w:p>
        </w:tc>
        <w:tc>
          <w:tcPr>
            <w:tcW w:w="7058" w:type="dxa"/>
            <w:tcBorders/>
            <w:vAlign w:val="center"/>
          </w:tcPr>
          <w:p>
            <w:pPr>
              <w:pStyle w:val="TableContents"/>
              <w:bidi w:val="0"/>
              <w:spacing w:before="0" w:after="283"/>
              <w:jc w:val="left"/>
              <w:rPr/>
            </w:pPr>
            <w:r>
              <w:rPr/>
              <w:t>Sales; Procurement; Inventory; Warehouse; Expenses; Assets; Projects</w:t>
            </w:r>
          </w:p>
        </w:tc>
      </w:tr>
      <w:tr>
        <w:trPr/>
        <w:tc>
          <w:tcPr>
            <w:tcW w:w="2181" w:type="dxa"/>
            <w:tcBorders/>
            <w:vAlign w:val="center"/>
          </w:tcPr>
          <w:p>
            <w:pPr>
              <w:pStyle w:val="TableContents"/>
              <w:bidi w:val="0"/>
              <w:spacing w:before="0" w:after="283"/>
              <w:jc w:val="left"/>
              <w:rPr/>
            </w:pPr>
            <w:r>
              <w:rPr/>
              <w:t>Phase 3 — Advanced Finance</w:t>
            </w:r>
          </w:p>
        </w:tc>
        <w:tc>
          <w:tcPr>
            <w:tcW w:w="2100" w:type="dxa"/>
            <w:tcBorders/>
            <w:vAlign w:val="center"/>
          </w:tcPr>
          <w:p>
            <w:pPr>
              <w:pStyle w:val="TableContents"/>
              <w:bidi w:val="0"/>
              <w:spacing w:before="0" w:after="283"/>
              <w:jc w:val="left"/>
              <w:rPr/>
            </w:pPr>
            <w:r>
              <w:rPr/>
              <w:t>Financial depth</w:t>
            </w:r>
          </w:p>
        </w:tc>
        <w:tc>
          <w:tcPr>
            <w:tcW w:w="7058" w:type="dxa"/>
            <w:tcBorders/>
            <w:vAlign w:val="center"/>
          </w:tcPr>
          <w:p>
            <w:pPr>
              <w:pStyle w:val="TableContents"/>
              <w:bidi w:val="0"/>
              <w:spacing w:before="0" w:after="283"/>
              <w:jc w:val="left"/>
              <w:rPr/>
            </w:pPr>
            <w:r>
              <w:rPr/>
              <w:t>Payroll; Budgeting; Banking; Loans; Investments; Tax; Inter-company transactions; Consolidated accounting</w:t>
            </w:r>
          </w:p>
        </w:tc>
      </w:tr>
      <w:tr>
        <w:trPr/>
        <w:tc>
          <w:tcPr>
            <w:tcW w:w="2181" w:type="dxa"/>
            <w:tcBorders/>
            <w:vAlign w:val="center"/>
          </w:tcPr>
          <w:p>
            <w:pPr>
              <w:pStyle w:val="TableContents"/>
              <w:bidi w:val="0"/>
              <w:spacing w:before="0" w:after="283"/>
              <w:jc w:val="left"/>
              <w:rPr/>
            </w:pPr>
            <w:r>
              <w:rPr/>
              <w:t>Phase 4 — Enterprise Management</w:t>
            </w:r>
          </w:p>
        </w:tc>
        <w:tc>
          <w:tcPr>
            <w:tcW w:w="2100" w:type="dxa"/>
            <w:tcBorders/>
            <w:vAlign w:val="center"/>
          </w:tcPr>
          <w:p>
            <w:pPr>
              <w:pStyle w:val="TableContents"/>
              <w:bidi w:val="0"/>
              <w:spacing w:before="0" w:after="283"/>
              <w:jc w:val="left"/>
              <w:rPr/>
            </w:pPr>
            <w:r>
              <w:rPr/>
              <w:t>Governance &amp; enterprise functions</w:t>
            </w:r>
          </w:p>
        </w:tc>
        <w:tc>
          <w:tcPr>
            <w:tcW w:w="7058" w:type="dxa"/>
            <w:tcBorders/>
            <w:vAlign w:val="center"/>
          </w:tcPr>
          <w:p>
            <w:pPr>
              <w:pStyle w:val="TableContents"/>
              <w:bidi w:val="0"/>
              <w:spacing w:before="0" w:after="283"/>
              <w:jc w:val="left"/>
              <w:rPr/>
            </w:pPr>
            <w:r>
              <w:rPr/>
              <w:t>Full HR (recruitment, performance, leave); CRM; Contracts; Legal; Compliance; Board &amp; corporate governance management; Document management; Business intelligence</w:t>
            </w:r>
          </w:p>
        </w:tc>
      </w:tr>
      <w:tr>
        <w:trPr/>
        <w:tc>
          <w:tcPr>
            <w:tcW w:w="2181" w:type="dxa"/>
            <w:tcBorders/>
            <w:vAlign w:val="center"/>
          </w:tcPr>
          <w:p>
            <w:pPr>
              <w:pStyle w:val="TableContents"/>
              <w:bidi w:val="0"/>
              <w:spacing w:before="0" w:after="283"/>
              <w:jc w:val="left"/>
              <w:rPr/>
            </w:pPr>
            <w:r>
              <w:rPr/>
              <w:t>Phase 5 — Integration and Security</w:t>
            </w:r>
          </w:p>
        </w:tc>
        <w:tc>
          <w:tcPr>
            <w:tcW w:w="2100" w:type="dxa"/>
            <w:tcBorders/>
            <w:vAlign w:val="center"/>
          </w:tcPr>
          <w:p>
            <w:pPr>
              <w:pStyle w:val="TableContents"/>
              <w:bidi w:val="0"/>
              <w:spacing w:before="0" w:after="283"/>
              <w:jc w:val="left"/>
              <w:rPr/>
            </w:pPr>
            <w:r>
              <w:rPr/>
              <w:t>Extensibility &amp; hardening</w:t>
            </w:r>
          </w:p>
        </w:tc>
        <w:tc>
          <w:tcPr>
            <w:tcW w:w="7058" w:type="dxa"/>
            <w:tcBorders/>
            <w:vAlign w:val="center"/>
          </w:tcPr>
          <w:p>
            <w:pPr>
              <w:pStyle w:val="TableContents"/>
              <w:bidi w:val="0"/>
              <w:spacing w:before="0" w:after="283"/>
              <w:jc w:val="left"/>
              <w:rPr/>
            </w:pPr>
            <w:r>
              <w:rPr/>
              <w:t>Mobile interface; APIs; Payment gateway &amp; bank integration; SMS/email integration; Advanced security (2FA); Automated backups &amp; disaster recovery; Advanced analytics</w:t>
            </w:r>
          </w:p>
        </w:tc>
      </w:tr>
    </w:tbl>
    <w:p>
      <w:pPr>
        <w:pStyle w:val="Heading3"/>
        <w:bidi w:val="0"/>
        <w:jc w:val="left"/>
        <w:rPr/>
      </w:pPr>
      <w:r>
        <w:rPr/>
        <w:t>4.2 Out of Scope (for this Charter and Phase 1)</w:t>
      </w:r>
    </w:p>
    <w:p>
      <w:pPr>
        <w:pStyle w:val="BodyText"/>
        <w:numPr>
          <w:ilvl w:val="0"/>
          <w:numId w:val="4"/>
        </w:numPr>
        <w:tabs>
          <w:tab w:val="clear" w:pos="1134"/>
          <w:tab w:val="left" w:pos="709" w:leader="none"/>
        </w:tabs>
        <w:bidi w:val="0"/>
        <w:spacing w:before="0" w:after="0"/>
        <w:ind w:hanging="283" w:left="709"/>
        <w:jc w:val="left"/>
        <w:rPr/>
      </w:pPr>
      <w:r>
        <w:rPr/>
        <w:t xml:space="preserve">Advanced modules listed under Phases 3–5 above (payroll, investments, full CRM, legal/compliance management, mobile apps, third-party integrations) are out of scope until their respective phase is separately chartered/approved following successful delivery of prior phases. </w:t>
      </w:r>
    </w:p>
    <w:p>
      <w:pPr>
        <w:pStyle w:val="BodyText"/>
        <w:numPr>
          <w:ilvl w:val="0"/>
          <w:numId w:val="4"/>
        </w:numPr>
        <w:tabs>
          <w:tab w:val="clear" w:pos="1134"/>
          <w:tab w:val="left" w:pos="709" w:leader="none"/>
        </w:tabs>
        <w:bidi w:val="0"/>
        <w:spacing w:before="0" w:after="0"/>
        <w:ind w:hanging="283" w:left="709"/>
        <w:jc w:val="left"/>
        <w:rPr/>
      </w:pPr>
      <w:r>
        <w:rPr/>
        <w:t xml:space="preserve">Migration of historical data predating the Group's adoption of the system is out of scope for Phase 1 except where required to establish opening balances (to be defined in the Data Migration Plan). </w:t>
      </w:r>
    </w:p>
    <w:p>
      <w:pPr>
        <w:pStyle w:val="BodyText"/>
        <w:numPr>
          <w:ilvl w:val="0"/>
          <w:numId w:val="4"/>
        </w:numPr>
        <w:tabs>
          <w:tab w:val="clear" w:pos="1134"/>
          <w:tab w:val="left" w:pos="709" w:leader="none"/>
        </w:tabs>
        <w:bidi w:val="0"/>
        <w:ind w:hanging="283" w:left="709"/>
        <w:jc w:val="left"/>
        <w:rPr/>
      </w:pPr>
      <w:r>
        <w:rPr/>
        <w:t xml:space="preserve">Selection and negotiation of the specific technology vendor, hosting provider and development team is addressed separately in the Feasibility Study and Development Plan, not within this Charter. </w:t>
      </w:r>
    </w:p>
    <w:p>
      <w:pPr>
        <w:pStyle w:val="Heading3"/>
        <w:bidi w:val="0"/>
        <w:jc w:val="left"/>
        <w:rPr/>
      </w:pPr>
      <w:r>
        <w:rPr/>
        <w:t>4.3 Key Deliverables of this Document Set</w:t>
      </w:r>
    </w:p>
    <w:p>
      <w:pPr>
        <w:pStyle w:val="BodyText"/>
        <w:bidi w:val="0"/>
        <w:jc w:val="left"/>
        <w:rPr/>
      </w:pPr>
      <w:r>
        <w:rPr/>
        <w:t>This Charter is part of a defined sequence of project documents. The current documentation set is:</w:t>
      </w:r>
    </w:p>
    <w:p>
      <w:pPr>
        <w:pStyle w:val="BodyText"/>
        <w:numPr>
          <w:ilvl w:val="0"/>
          <w:numId w:val="5"/>
        </w:numPr>
        <w:tabs>
          <w:tab w:val="clear" w:pos="1134"/>
          <w:tab w:val="left" w:pos="709" w:leader="none"/>
        </w:tabs>
        <w:bidi w:val="0"/>
        <w:spacing w:before="0" w:after="0"/>
        <w:ind w:hanging="283" w:left="709"/>
        <w:jc w:val="left"/>
        <w:rPr/>
      </w:pPr>
      <w:r>
        <w:rPr/>
        <w:t xml:space="preserve">01_Project Proposal — justification and business case, submitted for Board approval to proceed </w:t>
      </w:r>
    </w:p>
    <w:p>
      <w:pPr>
        <w:pStyle w:val="BodyText"/>
        <w:numPr>
          <w:ilvl w:val="0"/>
          <w:numId w:val="5"/>
        </w:numPr>
        <w:tabs>
          <w:tab w:val="clear" w:pos="1134"/>
          <w:tab w:val="left" w:pos="709" w:leader="none"/>
        </w:tabs>
        <w:bidi w:val="0"/>
        <w:spacing w:before="0" w:after="0"/>
        <w:ind w:hanging="283" w:left="709"/>
        <w:jc w:val="left"/>
        <w:rPr/>
      </w:pPr>
      <w:r>
        <w:rPr/>
        <w:t xml:space="preserve">02_Project Charter / Business Case (this document) — formal authorization reference </w:t>
      </w:r>
    </w:p>
    <w:p>
      <w:pPr>
        <w:pStyle w:val="BodyText"/>
        <w:numPr>
          <w:ilvl w:val="0"/>
          <w:numId w:val="5"/>
        </w:numPr>
        <w:tabs>
          <w:tab w:val="clear" w:pos="1134"/>
          <w:tab w:val="left" w:pos="709" w:leader="none"/>
        </w:tabs>
        <w:bidi w:val="0"/>
        <w:spacing w:before="0" w:after="0"/>
        <w:ind w:hanging="283" w:left="709"/>
        <w:jc w:val="left"/>
        <w:rPr/>
      </w:pPr>
      <w:r>
        <w:rPr/>
        <w:t xml:space="preserve">03_Feasibility Study — technical, operational, economic, schedule and legal viability of Phase 1 </w:t>
      </w:r>
    </w:p>
    <w:p>
      <w:pPr>
        <w:pStyle w:val="BodyText"/>
        <w:numPr>
          <w:ilvl w:val="0"/>
          <w:numId w:val="5"/>
        </w:numPr>
        <w:tabs>
          <w:tab w:val="clear" w:pos="1134"/>
          <w:tab w:val="left" w:pos="709" w:leader="none"/>
        </w:tabs>
        <w:bidi w:val="0"/>
        <w:ind w:hanging="283" w:left="709"/>
        <w:jc w:val="left"/>
        <w:rPr/>
      </w:pPr>
      <w:r>
        <w:rPr/>
        <w:t xml:space="preserve">04_Software Requirements Specification (SRS) — functional and non-functional requirements for Phase 1 </w:t>
      </w:r>
    </w:p>
    <w:p>
      <w:pPr>
        <w:pStyle w:val="BodyText"/>
        <w:bidi w:val="0"/>
        <w:jc w:val="left"/>
        <w:rPr/>
      </w:pPr>
      <w:r>
        <w:rPr/>
        <w:t>Next required per the Group's software development procedures: Business Process Document, System Design Document, Database Design Document, and Project Plan / Schedule.</w:t>
      </w:r>
    </w:p>
    <w:p>
      <w:pPr>
        <w:pStyle w:val="Heading2"/>
        <w:bidi w:val="0"/>
        <w:jc w:val="left"/>
        <w:rPr/>
      </w:pPr>
      <w:r>
        <w:rPr/>
        <w:t>5. Stakeholders</w:t>
      </w:r>
    </w:p>
    <w:p>
      <w:pPr>
        <w:pStyle w:val="Heading3"/>
        <w:bidi w:val="0"/>
        <w:jc w:val="left"/>
        <w:rPr/>
      </w:pPr>
      <w:r>
        <w:rPr/>
        <w:t>5.1 Governance — Board of Directors</w:t>
      </w:r>
    </w:p>
    <w:p>
      <w:pPr>
        <w:pStyle w:val="BodyText"/>
        <w:bidi w:val="0"/>
        <w:jc w:val="left"/>
        <w:rPr/>
      </w:pPr>
      <w:r>
        <w:rPr/>
        <w:t>Per the Group's Board Resolution (14 June 2019, Kira, Wakiso District), the following governance structure and bank signatories are of record:</w:t>
      </w:r>
    </w:p>
    <w:tbl>
      <w:tblPr>
        <w:tblW w:w="7664" w:type="dxa"/>
        <w:jc w:val="left"/>
        <w:tblInd w:w="28" w:type="dxa"/>
        <w:tblLayout w:type="fixed"/>
        <w:tblCellMar>
          <w:top w:w="28" w:type="dxa"/>
          <w:left w:w="28" w:type="dxa"/>
          <w:bottom w:w="28" w:type="dxa"/>
          <w:right w:w="28" w:type="dxa"/>
        </w:tblCellMar>
      </w:tblPr>
      <w:tblGrid>
        <w:gridCol w:w="2547"/>
        <w:gridCol w:w="1961"/>
        <w:gridCol w:w="3156"/>
      </w:tblGrid>
      <w:tr>
        <w:trPr/>
        <w:tc>
          <w:tcPr>
            <w:tcW w:w="2547" w:type="dxa"/>
            <w:tcBorders/>
            <w:vAlign w:val="center"/>
          </w:tcPr>
          <w:p>
            <w:pPr>
              <w:pStyle w:val="TableHeading"/>
              <w:suppressLineNumbers/>
              <w:shd w:fill="1F3864" w:val="clear"/>
              <w:bidi w:val="0"/>
              <w:spacing w:before="0" w:after="283"/>
              <w:jc w:val="left"/>
              <w:rPr/>
            </w:pPr>
            <w:r>
              <w:rPr/>
              <w:t>Name</w:t>
            </w:r>
          </w:p>
        </w:tc>
        <w:tc>
          <w:tcPr>
            <w:tcW w:w="1961" w:type="dxa"/>
            <w:tcBorders/>
            <w:vAlign w:val="center"/>
          </w:tcPr>
          <w:p>
            <w:pPr>
              <w:pStyle w:val="TableHeading"/>
              <w:suppressLineNumbers/>
              <w:shd w:fill="1F3864" w:val="clear"/>
              <w:bidi w:val="0"/>
              <w:spacing w:before="0" w:after="283"/>
              <w:jc w:val="left"/>
              <w:rPr/>
            </w:pPr>
            <w:r>
              <w:rPr/>
              <w:t>Role</w:t>
            </w:r>
          </w:p>
        </w:tc>
        <w:tc>
          <w:tcPr>
            <w:tcW w:w="3156" w:type="dxa"/>
            <w:tcBorders/>
            <w:vAlign w:val="center"/>
          </w:tcPr>
          <w:p>
            <w:pPr>
              <w:pStyle w:val="TableHeading"/>
              <w:suppressLineNumbers/>
              <w:shd w:fill="1F3864" w:val="clear"/>
              <w:bidi w:val="0"/>
              <w:spacing w:before="0" w:after="283"/>
              <w:jc w:val="left"/>
              <w:rPr/>
            </w:pPr>
            <w:r>
              <w:rPr/>
              <w:t>Signatory Status</w:t>
            </w:r>
          </w:p>
        </w:tc>
      </w:tr>
      <w:tr>
        <w:trPr/>
        <w:tc>
          <w:tcPr>
            <w:tcW w:w="2547" w:type="dxa"/>
            <w:tcBorders/>
            <w:vAlign w:val="center"/>
          </w:tcPr>
          <w:p>
            <w:pPr>
              <w:pStyle w:val="TableContents"/>
              <w:bidi w:val="0"/>
              <w:spacing w:before="0" w:after="283"/>
              <w:jc w:val="left"/>
              <w:rPr/>
            </w:pPr>
            <w:r>
              <w:rPr/>
              <w:t>Okurut Mathias</w:t>
            </w:r>
          </w:p>
        </w:tc>
        <w:tc>
          <w:tcPr>
            <w:tcW w:w="1961" w:type="dxa"/>
            <w:tcBorders/>
            <w:vAlign w:val="center"/>
          </w:tcPr>
          <w:p>
            <w:pPr>
              <w:pStyle w:val="TableContents"/>
              <w:bidi w:val="0"/>
              <w:spacing w:before="0" w:after="283"/>
              <w:jc w:val="left"/>
              <w:rPr/>
            </w:pPr>
            <w:r>
              <w:rPr/>
              <w:t>Managing Director</w:t>
            </w:r>
          </w:p>
        </w:tc>
        <w:tc>
          <w:tcPr>
            <w:tcW w:w="3156" w:type="dxa"/>
            <w:tcBorders/>
            <w:vAlign w:val="center"/>
          </w:tcPr>
          <w:p>
            <w:pPr>
              <w:pStyle w:val="TableContents"/>
              <w:bidi w:val="0"/>
              <w:spacing w:before="0" w:after="283"/>
              <w:jc w:val="left"/>
              <w:rPr/>
            </w:pPr>
            <w:r>
              <w:rPr/>
              <w:t>Principal signatory</w:t>
            </w:r>
          </w:p>
        </w:tc>
      </w:tr>
      <w:tr>
        <w:trPr/>
        <w:tc>
          <w:tcPr>
            <w:tcW w:w="2547" w:type="dxa"/>
            <w:tcBorders/>
            <w:vAlign w:val="center"/>
          </w:tcPr>
          <w:p>
            <w:pPr>
              <w:pStyle w:val="TableContents"/>
              <w:bidi w:val="0"/>
              <w:spacing w:before="0" w:after="283"/>
              <w:jc w:val="left"/>
              <w:rPr/>
            </w:pPr>
            <w:r>
              <w:rPr/>
              <w:t>Okurut Rhonah Bagonza</w:t>
            </w:r>
          </w:p>
        </w:tc>
        <w:tc>
          <w:tcPr>
            <w:tcW w:w="1961" w:type="dxa"/>
            <w:tcBorders/>
            <w:vAlign w:val="center"/>
          </w:tcPr>
          <w:p>
            <w:pPr>
              <w:pStyle w:val="TableContents"/>
              <w:bidi w:val="0"/>
              <w:spacing w:before="0" w:after="283"/>
              <w:jc w:val="left"/>
              <w:rPr/>
            </w:pPr>
            <w:r>
              <w:rPr/>
              <w:t>Secretary</w:t>
            </w:r>
          </w:p>
        </w:tc>
        <w:tc>
          <w:tcPr>
            <w:tcW w:w="3156" w:type="dxa"/>
            <w:tcBorders/>
            <w:vAlign w:val="center"/>
          </w:tcPr>
          <w:p>
            <w:pPr>
              <w:pStyle w:val="TableContents"/>
              <w:bidi w:val="0"/>
              <w:spacing w:before="0" w:after="283"/>
              <w:jc w:val="left"/>
              <w:rPr/>
            </w:pPr>
            <w:r>
              <w:rPr/>
              <w:t>Alternate signatory (deceased)</w:t>
            </w:r>
          </w:p>
        </w:tc>
      </w:tr>
      <w:tr>
        <w:trPr/>
        <w:tc>
          <w:tcPr>
            <w:tcW w:w="2547" w:type="dxa"/>
            <w:tcBorders/>
            <w:vAlign w:val="center"/>
          </w:tcPr>
          <w:p>
            <w:pPr>
              <w:pStyle w:val="TableContents"/>
              <w:bidi w:val="0"/>
              <w:spacing w:before="0" w:after="283"/>
              <w:jc w:val="left"/>
              <w:rPr/>
            </w:pPr>
            <w:r>
              <w:rPr/>
              <w:t>Obeke Godfrey</w:t>
            </w:r>
          </w:p>
        </w:tc>
        <w:tc>
          <w:tcPr>
            <w:tcW w:w="1961" w:type="dxa"/>
            <w:tcBorders/>
            <w:vAlign w:val="center"/>
          </w:tcPr>
          <w:p>
            <w:pPr>
              <w:pStyle w:val="TableContents"/>
              <w:bidi w:val="0"/>
              <w:spacing w:before="0" w:after="283"/>
              <w:jc w:val="left"/>
              <w:rPr/>
            </w:pPr>
            <w:r>
              <w:rPr/>
              <w:t>Director</w:t>
            </w:r>
          </w:p>
        </w:tc>
        <w:tc>
          <w:tcPr>
            <w:tcW w:w="3156" w:type="dxa"/>
            <w:tcBorders/>
            <w:vAlign w:val="center"/>
          </w:tcPr>
          <w:p>
            <w:pPr>
              <w:pStyle w:val="TableContents"/>
              <w:bidi w:val="0"/>
              <w:spacing w:before="0" w:after="283"/>
              <w:jc w:val="left"/>
              <w:rPr/>
            </w:pPr>
            <w:r>
              <w:rPr/>
              <w:t>Alternate signatory</w:t>
            </w:r>
          </w:p>
        </w:tc>
      </w:tr>
    </w:tbl>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Governance note:</w:t>
      </w:r>
      <w:r>
        <w:rPr>
          <w:sz w:val="21"/>
          <w:bdr w:val="single" w:sz="24" w:space="9" w:color="D98C00"/>
          <w:shd w:fill="FFF4E5" w:val="clear"/>
        </w:rPr>
        <w:t xml:space="preserve"> The 2019 Board Resolution lists the late Mrs. Okurut Rhonah Bagonza as Secretary and alternate signatory. As part of project initiation, the Board should confirm whether the Secretary/signatory position has since been formally reassigned, and if not, pass an updated resolution before this project proceeds to approval and funding stages that require multi-signatory authorization (e.g. release of project budget, vendor payments).</w:t>
      </w:r>
    </w:p>
    <w:p>
      <w:pPr>
        <w:pStyle w:val="Heading3"/>
        <w:bidi w:val="0"/>
        <w:jc w:val="left"/>
        <w:rPr/>
      </w:pPr>
      <w:r>
        <w:rPr/>
        <w:t>5.2 Project Stakeholders</w:t>
      </w:r>
    </w:p>
    <w:tbl>
      <w:tblPr>
        <w:tblW w:w="11339" w:type="dxa"/>
        <w:jc w:val="left"/>
        <w:tblInd w:w="28" w:type="dxa"/>
        <w:tblLayout w:type="fixed"/>
        <w:tblCellMar>
          <w:top w:w="28" w:type="dxa"/>
          <w:left w:w="28" w:type="dxa"/>
          <w:bottom w:w="28" w:type="dxa"/>
          <w:right w:w="28" w:type="dxa"/>
        </w:tblCellMar>
      </w:tblPr>
      <w:tblGrid>
        <w:gridCol w:w="3303"/>
        <w:gridCol w:w="8036"/>
      </w:tblGrid>
      <w:tr>
        <w:trPr/>
        <w:tc>
          <w:tcPr>
            <w:tcW w:w="3303" w:type="dxa"/>
            <w:tcBorders/>
            <w:vAlign w:val="center"/>
          </w:tcPr>
          <w:p>
            <w:pPr>
              <w:pStyle w:val="TableHeading"/>
              <w:suppressLineNumbers/>
              <w:shd w:fill="1F3864" w:val="clear"/>
              <w:bidi w:val="0"/>
              <w:spacing w:before="0" w:after="283"/>
              <w:jc w:val="left"/>
              <w:rPr/>
            </w:pPr>
            <w:r>
              <w:rPr/>
              <w:t>Stakeholder</w:t>
            </w:r>
          </w:p>
        </w:tc>
        <w:tc>
          <w:tcPr>
            <w:tcW w:w="8036" w:type="dxa"/>
            <w:tcBorders/>
            <w:vAlign w:val="center"/>
          </w:tcPr>
          <w:p>
            <w:pPr>
              <w:pStyle w:val="TableHeading"/>
              <w:suppressLineNumbers/>
              <w:shd w:fill="1F3864" w:val="clear"/>
              <w:bidi w:val="0"/>
              <w:spacing w:before="0" w:after="283"/>
              <w:jc w:val="left"/>
              <w:rPr/>
            </w:pPr>
            <w:r>
              <w:rPr/>
              <w:t>Interest / Role in the Project</w:t>
            </w:r>
          </w:p>
        </w:tc>
      </w:tr>
      <w:tr>
        <w:trPr/>
        <w:tc>
          <w:tcPr>
            <w:tcW w:w="3303" w:type="dxa"/>
            <w:tcBorders/>
            <w:vAlign w:val="center"/>
          </w:tcPr>
          <w:p>
            <w:pPr>
              <w:pStyle w:val="TableContents"/>
              <w:bidi w:val="0"/>
              <w:spacing w:before="0" w:after="283"/>
              <w:jc w:val="left"/>
              <w:rPr/>
            </w:pPr>
            <w:r>
              <w:rPr/>
              <w:t>Board of Directors</w:t>
            </w:r>
          </w:p>
        </w:tc>
        <w:tc>
          <w:tcPr>
            <w:tcW w:w="8036" w:type="dxa"/>
            <w:tcBorders/>
            <w:vAlign w:val="center"/>
          </w:tcPr>
          <w:p>
            <w:pPr>
              <w:pStyle w:val="TableContents"/>
              <w:bidi w:val="0"/>
              <w:spacing w:before="0" w:after="283"/>
              <w:jc w:val="left"/>
              <w:rPr/>
            </w:pPr>
            <w:r>
              <w:rPr/>
              <w:t>Project sponsor and approval authority; approves Charter, budget and major phase gates; receives consolidated governance reporting from the finished system.</w:t>
            </w:r>
          </w:p>
        </w:tc>
      </w:tr>
      <w:tr>
        <w:trPr/>
        <w:tc>
          <w:tcPr>
            <w:tcW w:w="3303" w:type="dxa"/>
            <w:tcBorders/>
            <w:vAlign w:val="center"/>
          </w:tcPr>
          <w:p>
            <w:pPr>
              <w:pStyle w:val="TableContents"/>
              <w:bidi w:val="0"/>
              <w:spacing w:before="0" w:after="283"/>
              <w:jc w:val="left"/>
              <w:rPr/>
            </w:pPr>
            <w:r>
              <w:rPr/>
              <w:t>Managing Director</w:t>
            </w:r>
          </w:p>
        </w:tc>
        <w:tc>
          <w:tcPr>
            <w:tcW w:w="8036" w:type="dxa"/>
            <w:tcBorders/>
            <w:vAlign w:val="center"/>
          </w:tcPr>
          <w:p>
            <w:pPr>
              <w:pStyle w:val="TableContents"/>
              <w:bidi w:val="0"/>
              <w:spacing w:before="0" w:after="283"/>
              <w:jc w:val="left"/>
              <w:rPr/>
            </w:pPr>
            <w:r>
              <w:rPr/>
              <w:t>Executive sponsor; overall accountability for Group performance and for the success of the project.</w:t>
            </w:r>
          </w:p>
        </w:tc>
      </w:tr>
      <w:tr>
        <w:trPr/>
        <w:tc>
          <w:tcPr>
            <w:tcW w:w="3303" w:type="dxa"/>
            <w:tcBorders/>
            <w:vAlign w:val="center"/>
          </w:tcPr>
          <w:p>
            <w:pPr>
              <w:pStyle w:val="TableContents"/>
              <w:bidi w:val="0"/>
              <w:spacing w:before="0" w:after="283"/>
              <w:jc w:val="left"/>
              <w:rPr/>
            </w:pPr>
            <w:r>
              <w:rPr/>
              <w:t>Group CEO / Executive Management</w:t>
            </w:r>
          </w:p>
        </w:tc>
        <w:tc>
          <w:tcPr>
            <w:tcW w:w="8036" w:type="dxa"/>
            <w:tcBorders/>
            <w:vAlign w:val="center"/>
          </w:tcPr>
          <w:p>
            <w:pPr>
              <w:pStyle w:val="TableContents"/>
              <w:bidi w:val="0"/>
              <w:spacing w:before="0" w:after="283"/>
              <w:jc w:val="left"/>
              <w:rPr/>
            </w:pPr>
            <w:r>
              <w:rPr/>
              <w:t>Primary business owner of consolidated dashboards, reports and approvals; defines cross-company priorities.</w:t>
            </w:r>
          </w:p>
        </w:tc>
      </w:tr>
      <w:tr>
        <w:trPr/>
        <w:tc>
          <w:tcPr>
            <w:tcW w:w="3303" w:type="dxa"/>
            <w:tcBorders/>
            <w:vAlign w:val="center"/>
          </w:tcPr>
          <w:p>
            <w:pPr>
              <w:pStyle w:val="TableContents"/>
              <w:bidi w:val="0"/>
              <w:spacing w:before="0" w:after="283"/>
              <w:jc w:val="left"/>
              <w:rPr/>
            </w:pPr>
            <w:r>
              <w:rPr/>
              <w:t>Finance Manager / CFO function</w:t>
            </w:r>
          </w:p>
        </w:tc>
        <w:tc>
          <w:tcPr>
            <w:tcW w:w="8036" w:type="dxa"/>
            <w:tcBorders/>
            <w:vAlign w:val="center"/>
          </w:tcPr>
          <w:p>
            <w:pPr>
              <w:pStyle w:val="TableContents"/>
              <w:bidi w:val="0"/>
              <w:spacing w:before="0" w:after="283"/>
              <w:jc w:val="left"/>
              <w:rPr/>
            </w:pPr>
            <w:r>
              <w:rPr/>
              <w:t>Owns requirements for accounting, banking, budgeting and financial reporting modules; key approver of financial workflows.</w:t>
            </w:r>
          </w:p>
        </w:tc>
      </w:tr>
      <w:tr>
        <w:trPr/>
        <w:tc>
          <w:tcPr>
            <w:tcW w:w="3303" w:type="dxa"/>
            <w:tcBorders/>
            <w:vAlign w:val="center"/>
          </w:tcPr>
          <w:p>
            <w:pPr>
              <w:pStyle w:val="TableContents"/>
              <w:bidi w:val="0"/>
              <w:spacing w:before="0" w:after="283"/>
              <w:jc w:val="left"/>
              <w:rPr/>
            </w:pPr>
            <w:r>
              <w:rPr/>
              <w:t>Accountants</w:t>
            </w:r>
          </w:p>
        </w:tc>
        <w:tc>
          <w:tcPr>
            <w:tcW w:w="8036" w:type="dxa"/>
            <w:tcBorders/>
            <w:vAlign w:val="center"/>
          </w:tcPr>
          <w:p>
            <w:pPr>
              <w:pStyle w:val="TableContents"/>
              <w:bidi w:val="0"/>
              <w:spacing w:before="0" w:after="283"/>
              <w:jc w:val="left"/>
              <w:rPr/>
            </w:pPr>
            <w:r>
              <w:rPr/>
              <w:t>Day-to-day users of ledgers, receivables/payables and financial reports.</w:t>
            </w:r>
          </w:p>
        </w:tc>
      </w:tr>
      <w:tr>
        <w:trPr/>
        <w:tc>
          <w:tcPr>
            <w:tcW w:w="3303" w:type="dxa"/>
            <w:tcBorders/>
            <w:vAlign w:val="center"/>
          </w:tcPr>
          <w:p>
            <w:pPr>
              <w:pStyle w:val="TableContents"/>
              <w:bidi w:val="0"/>
              <w:spacing w:before="0" w:after="283"/>
              <w:jc w:val="left"/>
              <w:rPr/>
            </w:pPr>
            <w:r>
              <w:rPr/>
              <w:t>HR Manager</w:t>
            </w:r>
          </w:p>
        </w:tc>
        <w:tc>
          <w:tcPr>
            <w:tcW w:w="8036" w:type="dxa"/>
            <w:tcBorders/>
            <w:vAlign w:val="center"/>
          </w:tcPr>
          <w:p>
            <w:pPr>
              <w:pStyle w:val="TableContents"/>
              <w:bidi w:val="0"/>
              <w:spacing w:before="0" w:after="283"/>
              <w:jc w:val="left"/>
              <w:rPr/>
            </w:pPr>
            <w:r>
              <w:rPr/>
              <w:t>Owns requirements for employee, recruitment, leave, attendance and payroll modules.</w:t>
            </w:r>
          </w:p>
        </w:tc>
      </w:tr>
      <w:tr>
        <w:trPr/>
        <w:tc>
          <w:tcPr>
            <w:tcW w:w="3303" w:type="dxa"/>
            <w:tcBorders/>
            <w:vAlign w:val="center"/>
          </w:tcPr>
          <w:p>
            <w:pPr>
              <w:pStyle w:val="TableContents"/>
              <w:bidi w:val="0"/>
              <w:spacing w:before="0" w:after="283"/>
              <w:jc w:val="left"/>
              <w:rPr/>
            </w:pPr>
            <w:r>
              <w:rPr/>
              <w:t>Procurement Officer / Manager</w:t>
            </w:r>
          </w:p>
        </w:tc>
        <w:tc>
          <w:tcPr>
            <w:tcW w:w="8036" w:type="dxa"/>
            <w:tcBorders/>
            <w:vAlign w:val="center"/>
          </w:tcPr>
          <w:p>
            <w:pPr>
              <w:pStyle w:val="TableContents"/>
              <w:bidi w:val="0"/>
              <w:spacing w:before="0" w:after="283"/>
              <w:jc w:val="left"/>
              <w:rPr/>
            </w:pPr>
            <w:r>
              <w:rPr/>
              <w:t>Owns requirements for requisitions, suppliers, quotations and purchase orders.</w:t>
            </w:r>
          </w:p>
        </w:tc>
      </w:tr>
      <w:tr>
        <w:trPr/>
        <w:tc>
          <w:tcPr>
            <w:tcW w:w="3303" w:type="dxa"/>
            <w:tcBorders/>
            <w:vAlign w:val="center"/>
          </w:tcPr>
          <w:p>
            <w:pPr>
              <w:pStyle w:val="TableContents"/>
              <w:bidi w:val="0"/>
              <w:spacing w:before="0" w:after="283"/>
              <w:jc w:val="left"/>
              <w:rPr/>
            </w:pPr>
            <w:r>
              <w:rPr/>
              <w:t>Warehouse / Inventory Manager</w:t>
            </w:r>
          </w:p>
        </w:tc>
        <w:tc>
          <w:tcPr>
            <w:tcW w:w="8036" w:type="dxa"/>
            <w:tcBorders/>
            <w:vAlign w:val="center"/>
          </w:tcPr>
          <w:p>
            <w:pPr>
              <w:pStyle w:val="TableContents"/>
              <w:bidi w:val="0"/>
              <w:spacing w:before="0" w:after="283"/>
              <w:jc w:val="left"/>
              <w:rPr/>
            </w:pPr>
            <w:r>
              <w:rPr/>
              <w:t>Owns requirements for stock, warehouse and goods-receipt processes.</w:t>
            </w:r>
          </w:p>
        </w:tc>
      </w:tr>
      <w:tr>
        <w:trPr/>
        <w:tc>
          <w:tcPr>
            <w:tcW w:w="3303" w:type="dxa"/>
            <w:tcBorders/>
            <w:vAlign w:val="center"/>
          </w:tcPr>
          <w:p>
            <w:pPr>
              <w:pStyle w:val="TableContents"/>
              <w:bidi w:val="0"/>
              <w:spacing w:before="0" w:after="283"/>
              <w:jc w:val="left"/>
              <w:rPr/>
            </w:pPr>
            <w:r>
              <w:rPr/>
              <w:t>Branch Managers</w:t>
            </w:r>
          </w:p>
        </w:tc>
        <w:tc>
          <w:tcPr>
            <w:tcW w:w="8036" w:type="dxa"/>
            <w:tcBorders/>
            <w:vAlign w:val="center"/>
          </w:tcPr>
          <w:p>
            <w:pPr>
              <w:pStyle w:val="TableContents"/>
              <w:bidi w:val="0"/>
              <w:spacing w:before="0" w:after="283"/>
              <w:jc w:val="left"/>
              <w:rPr/>
            </w:pPr>
            <w:r>
              <w:rPr/>
              <w:t>Represent branch-level operational needs; users of branch dashboards and reports.</w:t>
            </w:r>
          </w:p>
        </w:tc>
      </w:tr>
      <w:tr>
        <w:trPr/>
        <w:tc>
          <w:tcPr>
            <w:tcW w:w="3303" w:type="dxa"/>
            <w:tcBorders/>
            <w:vAlign w:val="center"/>
          </w:tcPr>
          <w:p>
            <w:pPr>
              <w:pStyle w:val="TableContents"/>
              <w:bidi w:val="0"/>
              <w:spacing w:before="0" w:after="283"/>
              <w:jc w:val="left"/>
              <w:rPr/>
            </w:pPr>
            <w:r>
              <w:rPr/>
              <w:t>Sales Managers / Officers</w:t>
            </w:r>
          </w:p>
        </w:tc>
        <w:tc>
          <w:tcPr>
            <w:tcW w:w="8036" w:type="dxa"/>
            <w:tcBorders/>
            <w:vAlign w:val="center"/>
          </w:tcPr>
          <w:p>
            <w:pPr>
              <w:pStyle w:val="TableContents"/>
              <w:bidi w:val="0"/>
              <w:spacing w:before="0" w:after="283"/>
              <w:jc w:val="left"/>
              <w:rPr/>
            </w:pPr>
            <w:r>
              <w:rPr/>
              <w:t>Owns requirements for customer, quotation, order and invoicing workflows.</w:t>
            </w:r>
          </w:p>
        </w:tc>
      </w:tr>
      <w:tr>
        <w:trPr/>
        <w:tc>
          <w:tcPr>
            <w:tcW w:w="3303" w:type="dxa"/>
            <w:tcBorders/>
            <w:vAlign w:val="center"/>
          </w:tcPr>
          <w:p>
            <w:pPr>
              <w:pStyle w:val="TableContents"/>
              <w:bidi w:val="0"/>
              <w:spacing w:before="0" w:after="283"/>
              <w:jc w:val="left"/>
              <w:rPr/>
            </w:pPr>
            <w:r>
              <w:rPr/>
              <w:t>Employees (general users)</w:t>
            </w:r>
          </w:p>
        </w:tc>
        <w:tc>
          <w:tcPr>
            <w:tcW w:w="8036" w:type="dxa"/>
            <w:tcBorders/>
            <w:vAlign w:val="center"/>
          </w:tcPr>
          <w:p>
            <w:pPr>
              <w:pStyle w:val="TableContents"/>
              <w:bidi w:val="0"/>
              <w:spacing w:before="0" w:after="283"/>
              <w:jc w:val="left"/>
              <w:rPr/>
            </w:pPr>
            <w:r>
              <w:rPr/>
              <w:t>End users for self-service functions — profile, leave requests, expense claims.</w:t>
            </w:r>
          </w:p>
        </w:tc>
      </w:tr>
      <w:tr>
        <w:trPr/>
        <w:tc>
          <w:tcPr>
            <w:tcW w:w="3303" w:type="dxa"/>
            <w:tcBorders/>
            <w:vAlign w:val="center"/>
          </w:tcPr>
          <w:p>
            <w:pPr>
              <w:pStyle w:val="TableContents"/>
              <w:bidi w:val="0"/>
              <w:spacing w:before="0" w:after="283"/>
              <w:jc w:val="left"/>
              <w:rPr/>
            </w:pPr>
            <w:r>
              <w:rPr/>
              <w:t>IT Administrator / Project Manager</w:t>
            </w:r>
          </w:p>
        </w:tc>
        <w:tc>
          <w:tcPr>
            <w:tcW w:w="8036" w:type="dxa"/>
            <w:tcBorders/>
            <w:vAlign w:val="center"/>
          </w:tcPr>
          <w:p>
            <w:pPr>
              <w:pStyle w:val="TableContents"/>
              <w:bidi w:val="0"/>
              <w:spacing w:before="0" w:after="283"/>
              <w:jc w:val="left"/>
              <w:rPr/>
            </w:pPr>
            <w:r>
              <w:rPr/>
              <w:t>Coordinates delivery; manages the development team, environments and releases.</w:t>
            </w:r>
          </w:p>
        </w:tc>
      </w:tr>
      <w:tr>
        <w:trPr/>
        <w:tc>
          <w:tcPr>
            <w:tcW w:w="3303" w:type="dxa"/>
            <w:tcBorders/>
            <w:vAlign w:val="center"/>
          </w:tcPr>
          <w:p>
            <w:pPr>
              <w:pStyle w:val="TableContents"/>
              <w:bidi w:val="0"/>
              <w:spacing w:before="0" w:after="283"/>
              <w:jc w:val="left"/>
              <w:rPr/>
            </w:pPr>
            <w:r>
              <w:rPr/>
              <w:t>Development Team / Technology Partner</w:t>
            </w:r>
          </w:p>
        </w:tc>
        <w:tc>
          <w:tcPr>
            <w:tcW w:w="8036" w:type="dxa"/>
            <w:tcBorders/>
            <w:vAlign w:val="center"/>
          </w:tcPr>
          <w:p>
            <w:pPr>
              <w:pStyle w:val="TableContents"/>
              <w:bidi w:val="0"/>
              <w:spacing w:before="0" w:after="283"/>
              <w:jc w:val="left"/>
              <w:rPr/>
            </w:pPr>
            <w:r>
              <w:rPr/>
              <w:t>Designs, builds, tests and deploys the system per the SRS and architecture.</w:t>
            </w:r>
          </w:p>
        </w:tc>
      </w:tr>
      <w:tr>
        <w:trPr/>
        <w:tc>
          <w:tcPr>
            <w:tcW w:w="3303" w:type="dxa"/>
            <w:tcBorders/>
            <w:vAlign w:val="center"/>
          </w:tcPr>
          <w:p>
            <w:pPr>
              <w:pStyle w:val="TableContents"/>
              <w:bidi w:val="0"/>
              <w:spacing w:before="0" w:after="283"/>
              <w:jc w:val="left"/>
              <w:rPr/>
            </w:pPr>
            <w:r>
              <w:rPr/>
              <w:t>External Auditors</w:t>
            </w:r>
          </w:p>
        </w:tc>
        <w:tc>
          <w:tcPr>
            <w:tcW w:w="8036" w:type="dxa"/>
            <w:tcBorders/>
            <w:vAlign w:val="center"/>
          </w:tcPr>
          <w:p>
            <w:pPr>
              <w:pStyle w:val="TableContents"/>
              <w:bidi w:val="0"/>
              <w:spacing w:before="0" w:after="283"/>
              <w:jc w:val="left"/>
              <w:rPr/>
            </w:pPr>
            <w:r>
              <w:rPr/>
              <w:t>Rely on system audit trails and financial reports for statutory audit.</w:t>
            </w:r>
          </w:p>
        </w:tc>
      </w:tr>
      <w:tr>
        <w:trPr/>
        <w:tc>
          <w:tcPr>
            <w:tcW w:w="3303" w:type="dxa"/>
            <w:tcBorders/>
            <w:vAlign w:val="center"/>
          </w:tcPr>
          <w:p>
            <w:pPr>
              <w:pStyle w:val="TableContents"/>
              <w:bidi w:val="0"/>
              <w:spacing w:before="0" w:after="283"/>
              <w:jc w:val="left"/>
              <w:rPr/>
            </w:pPr>
            <w:r>
              <w:rPr/>
              <w:t>Equity Bank (Uganda) Limited</w:t>
            </w:r>
          </w:p>
        </w:tc>
        <w:tc>
          <w:tcPr>
            <w:tcW w:w="8036" w:type="dxa"/>
            <w:tcBorders/>
            <w:vAlign w:val="center"/>
          </w:tcPr>
          <w:p>
            <w:pPr>
              <w:pStyle w:val="TableContents"/>
              <w:bidi w:val="0"/>
              <w:spacing w:before="0" w:after="283"/>
              <w:jc w:val="left"/>
              <w:rPr/>
            </w:pPr>
            <w:r>
              <w:rPr/>
              <w:t>Banking partner; relevant to banking integration and reconciliation features in later phases.</w:t>
            </w:r>
          </w:p>
        </w:tc>
      </w:tr>
      <w:tr>
        <w:trPr/>
        <w:tc>
          <w:tcPr>
            <w:tcW w:w="3303" w:type="dxa"/>
            <w:tcBorders/>
            <w:vAlign w:val="center"/>
          </w:tcPr>
          <w:p>
            <w:pPr>
              <w:pStyle w:val="TableContents"/>
              <w:bidi w:val="0"/>
              <w:spacing w:before="0" w:after="283"/>
              <w:jc w:val="left"/>
              <w:rPr/>
            </w:pPr>
            <w:r>
              <w:rPr/>
              <w:t>Regulatory bodies (e.g. Uganda Revenue Authority, URSB)</w:t>
            </w:r>
          </w:p>
        </w:tc>
        <w:tc>
          <w:tcPr>
            <w:tcW w:w="8036" w:type="dxa"/>
            <w:tcBorders/>
            <w:vAlign w:val="center"/>
          </w:tcPr>
          <w:p>
            <w:pPr>
              <w:pStyle w:val="TableContents"/>
              <w:bidi w:val="0"/>
              <w:spacing w:before="0" w:after="283"/>
              <w:jc w:val="left"/>
              <w:rPr/>
            </w:pPr>
            <w:r>
              <w:rPr/>
              <w:t>External stakeholders whose tax and company-registration requirements inform system compliance features.</w:t>
            </w:r>
          </w:p>
        </w:tc>
      </w:tr>
    </w:tbl>
    <w:p>
      <w:pPr>
        <w:pStyle w:val="Heading2"/>
        <w:bidi w:val="0"/>
        <w:jc w:val="left"/>
        <w:rPr/>
      </w:pPr>
      <w:r>
        <w:rPr/>
        <w:t>6. High-Level Requirements Overview</w:t>
      </w:r>
    </w:p>
    <w:p>
      <w:pPr>
        <w:pStyle w:val="BodyText"/>
        <w:bidi w:val="0"/>
        <w:jc w:val="left"/>
        <w:rPr/>
      </w:pPr>
      <w:r>
        <w:rPr/>
        <w:t>Full functional and non-functional requirements are documented in 04_Software Requirements Specification. At a summary level, the system must:</w:t>
      </w:r>
    </w:p>
    <w:p>
      <w:pPr>
        <w:pStyle w:val="BodyText"/>
        <w:numPr>
          <w:ilvl w:val="0"/>
          <w:numId w:val="6"/>
        </w:numPr>
        <w:tabs>
          <w:tab w:val="clear" w:pos="1134"/>
          <w:tab w:val="left" w:pos="709" w:leader="none"/>
        </w:tabs>
        <w:bidi w:val="0"/>
        <w:spacing w:before="0" w:after="0"/>
        <w:ind w:hanging="283" w:left="709"/>
        <w:jc w:val="left"/>
        <w:rPr/>
      </w:pPr>
      <w:r>
        <w:rPr/>
        <w:t xml:space="preserve">Support multiple companies, subsidiaries, branches and departments with configurable ownership and parent/subsidiary relationships, per the structure illustrated in Section 2.2. </w:t>
      </w:r>
    </w:p>
    <w:p>
      <w:pPr>
        <w:pStyle w:val="BodyText"/>
        <w:numPr>
          <w:ilvl w:val="0"/>
          <w:numId w:val="6"/>
        </w:numPr>
        <w:tabs>
          <w:tab w:val="clear" w:pos="1134"/>
          <w:tab w:val="left" w:pos="709" w:leader="none"/>
        </w:tabs>
        <w:bidi w:val="0"/>
        <w:spacing w:before="0" w:after="0"/>
        <w:ind w:hanging="283" w:left="709"/>
        <w:jc w:val="left"/>
        <w:rPr/>
      </w:pPr>
      <w:r>
        <w:rPr/>
        <w:t xml:space="preserve">Provide role-based access control restricting data by company, branch, department and module. </w:t>
      </w:r>
    </w:p>
    <w:p>
      <w:pPr>
        <w:pStyle w:val="BodyText"/>
        <w:numPr>
          <w:ilvl w:val="0"/>
          <w:numId w:val="6"/>
        </w:numPr>
        <w:tabs>
          <w:tab w:val="clear" w:pos="1134"/>
          <w:tab w:val="left" w:pos="709" w:leader="none"/>
        </w:tabs>
        <w:bidi w:val="0"/>
        <w:spacing w:before="0" w:after="0"/>
        <w:ind w:hanging="283" w:left="709"/>
        <w:jc w:val="left"/>
        <w:rPr/>
      </w:pPr>
      <w:r>
        <w:rPr/>
        <w:t xml:space="preserve">Provide consolidated Group reporting alongside independent subsidiary-level operation. </w:t>
      </w:r>
    </w:p>
    <w:p>
      <w:pPr>
        <w:pStyle w:val="BodyText"/>
        <w:numPr>
          <w:ilvl w:val="0"/>
          <w:numId w:val="6"/>
        </w:numPr>
        <w:tabs>
          <w:tab w:val="clear" w:pos="1134"/>
          <w:tab w:val="left" w:pos="709" w:leader="none"/>
        </w:tabs>
        <w:bidi w:val="0"/>
        <w:spacing w:before="0" w:after="0"/>
        <w:ind w:hanging="283" w:left="709"/>
        <w:jc w:val="left"/>
        <w:rPr/>
      </w:pPr>
      <w:r>
        <w:rPr/>
        <w:t xml:space="preserve">Maintain a complete audit trail of who created, changed, approved or deleted any record. </w:t>
      </w:r>
    </w:p>
    <w:p>
      <w:pPr>
        <w:pStyle w:val="BodyText"/>
        <w:numPr>
          <w:ilvl w:val="0"/>
          <w:numId w:val="6"/>
        </w:numPr>
        <w:tabs>
          <w:tab w:val="clear" w:pos="1134"/>
          <w:tab w:val="left" w:pos="709" w:leader="none"/>
        </w:tabs>
        <w:bidi w:val="0"/>
        <w:spacing w:before="0" w:after="0"/>
        <w:ind w:hanging="283" w:left="709"/>
        <w:jc w:val="left"/>
        <w:rPr/>
      </w:pPr>
      <w:r>
        <w:rPr/>
        <w:t xml:space="preserve">Be accessible from desktop, tablet and mobile devices. </w:t>
      </w:r>
    </w:p>
    <w:p>
      <w:pPr>
        <w:pStyle w:val="BodyText"/>
        <w:numPr>
          <w:ilvl w:val="0"/>
          <w:numId w:val="6"/>
        </w:numPr>
        <w:tabs>
          <w:tab w:val="clear" w:pos="1134"/>
          <w:tab w:val="left" w:pos="709" w:leader="none"/>
        </w:tabs>
        <w:bidi w:val="0"/>
        <w:ind w:hanging="283" w:left="709"/>
        <w:jc w:val="left"/>
        <w:rPr/>
      </w:pPr>
      <w:r>
        <w:rPr/>
        <w:t xml:space="preserve">Meet baseline non-functional targets for performance, availability, security (encryption, secure authentication) and backup/disaster recovery, as detailed in the SRS. </w:t>
      </w:r>
    </w:p>
    <w:p>
      <w:pPr>
        <w:pStyle w:val="Heading2"/>
        <w:bidi w:val="0"/>
        <w:jc w:val="left"/>
        <w:rPr/>
      </w:pPr>
      <w:r>
        <w:rPr/>
        <w:t>7. Assumptions and Constraints</w:t>
      </w:r>
    </w:p>
    <w:p>
      <w:pPr>
        <w:pStyle w:val="Heading3"/>
        <w:bidi w:val="0"/>
        <w:jc w:val="left"/>
        <w:rPr/>
      </w:pPr>
      <w:r>
        <w:rPr/>
        <w:t>7.1 Assumptions</w:t>
      </w:r>
    </w:p>
    <w:p>
      <w:pPr>
        <w:pStyle w:val="BodyText"/>
        <w:numPr>
          <w:ilvl w:val="0"/>
          <w:numId w:val="7"/>
        </w:numPr>
        <w:tabs>
          <w:tab w:val="clear" w:pos="1134"/>
          <w:tab w:val="left" w:pos="709" w:leader="none"/>
        </w:tabs>
        <w:bidi w:val="0"/>
        <w:spacing w:before="0" w:after="0"/>
        <w:ind w:hanging="283" w:left="709"/>
        <w:jc w:val="left"/>
        <w:rPr/>
      </w:pPr>
      <w:r>
        <w:rPr/>
        <w:t xml:space="preserve">The Board will designate a project sponsor and, where required, an internal project owner/coordinator to work with the development team. </w:t>
      </w:r>
    </w:p>
    <w:p>
      <w:pPr>
        <w:pStyle w:val="BodyText"/>
        <w:numPr>
          <w:ilvl w:val="0"/>
          <w:numId w:val="7"/>
        </w:numPr>
        <w:tabs>
          <w:tab w:val="clear" w:pos="1134"/>
          <w:tab w:val="left" w:pos="709" w:leader="none"/>
        </w:tabs>
        <w:bidi w:val="0"/>
        <w:spacing w:before="0" w:after="0"/>
        <w:ind w:hanging="283" w:left="709"/>
        <w:jc w:val="left"/>
        <w:rPr/>
      </w:pPr>
      <w:r>
        <w:rPr/>
        <w:t xml:space="preserve">Subsidiary and department heads will be made available for requirements interviews during the SRS phase. </w:t>
      </w:r>
    </w:p>
    <w:p>
      <w:pPr>
        <w:pStyle w:val="BodyText"/>
        <w:numPr>
          <w:ilvl w:val="0"/>
          <w:numId w:val="7"/>
        </w:numPr>
        <w:tabs>
          <w:tab w:val="clear" w:pos="1134"/>
          <w:tab w:val="left" w:pos="709" w:leader="none"/>
        </w:tabs>
        <w:bidi w:val="0"/>
        <w:spacing w:before="0" w:after="0"/>
        <w:ind w:hanging="283" w:left="709"/>
        <w:jc w:val="left"/>
        <w:rPr/>
      </w:pPr>
      <w:r>
        <w:rPr/>
        <w:t xml:space="preserve">The Group's existing corporate governance records (registrations, banking resolutions) are current or will be updated as part of project readiness. </w:t>
      </w:r>
    </w:p>
    <w:p>
      <w:pPr>
        <w:pStyle w:val="BodyText"/>
        <w:numPr>
          <w:ilvl w:val="0"/>
          <w:numId w:val="7"/>
        </w:numPr>
        <w:tabs>
          <w:tab w:val="clear" w:pos="1134"/>
          <w:tab w:val="left" w:pos="709" w:leader="none"/>
        </w:tabs>
        <w:bidi w:val="0"/>
        <w:ind w:hanging="283" w:left="709"/>
        <w:jc w:val="left"/>
        <w:rPr/>
      </w:pPr>
      <w:r>
        <w:rPr/>
        <w:t xml:space="preserve">Development will follow a phased delivery model; no attempt will be made to build all modules simultaneously. </w:t>
      </w:r>
    </w:p>
    <w:p>
      <w:pPr>
        <w:pStyle w:val="Heading3"/>
        <w:bidi w:val="0"/>
        <w:jc w:val="left"/>
        <w:rPr/>
      </w:pPr>
      <w:r>
        <w:rPr/>
        <w:t>7.2 Constraints</w:t>
      </w:r>
    </w:p>
    <w:p>
      <w:pPr>
        <w:pStyle w:val="BodyText"/>
        <w:numPr>
          <w:ilvl w:val="0"/>
          <w:numId w:val="8"/>
        </w:numPr>
        <w:tabs>
          <w:tab w:val="clear" w:pos="1134"/>
          <w:tab w:val="left" w:pos="709" w:leader="none"/>
        </w:tabs>
        <w:bidi w:val="0"/>
        <w:spacing w:before="0" w:after="0"/>
        <w:ind w:hanging="283" w:left="709"/>
        <w:jc w:val="left"/>
        <w:rPr/>
      </w:pPr>
      <w:r>
        <w:rPr/>
        <w:t xml:space="preserve">Budget and firm delivery timelines are not yet defined and are to be established in the Feasibility Study and Project Plan following this Charter's approval. </w:t>
      </w:r>
    </w:p>
    <w:p>
      <w:pPr>
        <w:pStyle w:val="BodyText"/>
        <w:numPr>
          <w:ilvl w:val="0"/>
          <w:numId w:val="8"/>
        </w:numPr>
        <w:tabs>
          <w:tab w:val="clear" w:pos="1134"/>
          <w:tab w:val="left" w:pos="709" w:leader="none"/>
        </w:tabs>
        <w:bidi w:val="0"/>
        <w:spacing w:before="0" w:after="0"/>
        <w:ind w:hanging="283" w:left="709"/>
        <w:jc w:val="left"/>
        <w:rPr/>
      </w:pPr>
      <w:r>
        <w:rPr/>
        <w:t xml:space="preserve">The system must accommodate the tax and regulatory requirements of every jurisdiction in which Group companies operate. </w:t>
      </w:r>
    </w:p>
    <w:p>
      <w:pPr>
        <w:pStyle w:val="BodyText"/>
        <w:numPr>
          <w:ilvl w:val="0"/>
          <w:numId w:val="8"/>
        </w:numPr>
        <w:tabs>
          <w:tab w:val="clear" w:pos="1134"/>
          <w:tab w:val="left" w:pos="709" w:leader="none"/>
        </w:tabs>
        <w:bidi w:val="0"/>
        <w:ind w:hanging="283" w:left="709"/>
        <w:jc w:val="left"/>
        <w:rPr/>
      </w:pPr>
      <w:r>
        <w:rPr/>
        <w:t xml:space="preserve">Data migration from any existing spreadsheets/records must be validated before go-live for each company. </w:t>
      </w:r>
    </w:p>
    <w:p>
      <w:pPr>
        <w:pStyle w:val="Heading2"/>
        <w:bidi w:val="0"/>
        <w:jc w:val="left"/>
        <w:rPr/>
      </w:pPr>
      <w:r>
        <w:rPr/>
        <w:t>8. High-Level Risks</w:t>
      </w:r>
    </w:p>
    <w:tbl>
      <w:tblPr>
        <w:tblW w:w="11339" w:type="dxa"/>
        <w:jc w:val="left"/>
        <w:tblInd w:w="28" w:type="dxa"/>
        <w:tblLayout w:type="fixed"/>
        <w:tblCellMar>
          <w:top w:w="28" w:type="dxa"/>
          <w:left w:w="28" w:type="dxa"/>
          <w:bottom w:w="28" w:type="dxa"/>
          <w:right w:w="28" w:type="dxa"/>
        </w:tblCellMar>
      </w:tblPr>
      <w:tblGrid>
        <w:gridCol w:w="3358"/>
        <w:gridCol w:w="3460"/>
        <w:gridCol w:w="4521"/>
      </w:tblGrid>
      <w:tr>
        <w:trPr/>
        <w:tc>
          <w:tcPr>
            <w:tcW w:w="3358" w:type="dxa"/>
            <w:tcBorders/>
            <w:vAlign w:val="center"/>
          </w:tcPr>
          <w:p>
            <w:pPr>
              <w:pStyle w:val="TableHeading"/>
              <w:suppressLineNumbers/>
              <w:shd w:fill="1F3864" w:val="clear"/>
              <w:bidi w:val="0"/>
              <w:spacing w:before="0" w:after="283"/>
              <w:jc w:val="left"/>
              <w:rPr/>
            </w:pPr>
            <w:r>
              <w:rPr/>
              <w:t>Risk</w:t>
            </w:r>
          </w:p>
        </w:tc>
        <w:tc>
          <w:tcPr>
            <w:tcW w:w="3460" w:type="dxa"/>
            <w:tcBorders/>
            <w:vAlign w:val="center"/>
          </w:tcPr>
          <w:p>
            <w:pPr>
              <w:pStyle w:val="TableHeading"/>
              <w:suppressLineNumbers/>
              <w:shd w:fill="1F3864" w:val="clear"/>
              <w:bidi w:val="0"/>
              <w:spacing w:before="0" w:after="283"/>
              <w:jc w:val="left"/>
              <w:rPr/>
            </w:pPr>
            <w:r>
              <w:rPr/>
              <w:t>Potential Impact</w:t>
            </w:r>
          </w:p>
        </w:tc>
        <w:tc>
          <w:tcPr>
            <w:tcW w:w="4521" w:type="dxa"/>
            <w:tcBorders/>
            <w:vAlign w:val="center"/>
          </w:tcPr>
          <w:p>
            <w:pPr>
              <w:pStyle w:val="TableHeading"/>
              <w:suppressLineNumbers/>
              <w:shd w:fill="1F3864" w:val="clear"/>
              <w:bidi w:val="0"/>
              <w:spacing w:before="0" w:after="283"/>
              <w:jc w:val="left"/>
              <w:rPr/>
            </w:pPr>
            <w:r>
              <w:rPr/>
              <w:t>Proposed Mitigation</w:t>
            </w:r>
          </w:p>
        </w:tc>
      </w:tr>
      <w:tr>
        <w:trPr/>
        <w:tc>
          <w:tcPr>
            <w:tcW w:w="3358" w:type="dxa"/>
            <w:tcBorders/>
            <w:vAlign w:val="center"/>
          </w:tcPr>
          <w:p>
            <w:pPr>
              <w:pStyle w:val="TableContents"/>
              <w:bidi w:val="0"/>
              <w:spacing w:before="0" w:after="283"/>
              <w:jc w:val="left"/>
              <w:rPr/>
            </w:pPr>
            <w:r>
              <w:rPr/>
              <w:t>Attempting to build all modules at once</w:t>
            </w:r>
          </w:p>
        </w:tc>
        <w:tc>
          <w:tcPr>
            <w:tcW w:w="3460" w:type="dxa"/>
            <w:tcBorders/>
            <w:vAlign w:val="center"/>
          </w:tcPr>
          <w:p>
            <w:pPr>
              <w:pStyle w:val="TableContents"/>
              <w:bidi w:val="0"/>
              <w:spacing w:before="0" w:after="283"/>
              <w:jc w:val="left"/>
              <w:rPr/>
            </w:pPr>
            <w:r>
              <w:rPr/>
              <w:t>Delayed delivery, budget overrun, low adoption</w:t>
            </w:r>
          </w:p>
        </w:tc>
        <w:tc>
          <w:tcPr>
            <w:tcW w:w="4521" w:type="dxa"/>
            <w:tcBorders/>
            <w:vAlign w:val="center"/>
          </w:tcPr>
          <w:p>
            <w:pPr>
              <w:pStyle w:val="TableContents"/>
              <w:bidi w:val="0"/>
              <w:spacing w:before="0" w:after="283"/>
              <w:jc w:val="left"/>
              <w:rPr/>
            </w:pPr>
            <w:r>
              <w:rPr/>
              <w:t>Enforce the phased delivery plan in Section 4.1; do not expand Phase 1 scope without Board approval</w:t>
            </w:r>
          </w:p>
        </w:tc>
      </w:tr>
      <w:tr>
        <w:trPr/>
        <w:tc>
          <w:tcPr>
            <w:tcW w:w="3358" w:type="dxa"/>
            <w:tcBorders/>
            <w:vAlign w:val="center"/>
          </w:tcPr>
          <w:p>
            <w:pPr>
              <w:pStyle w:val="TableContents"/>
              <w:bidi w:val="0"/>
              <w:spacing w:before="0" w:after="283"/>
              <w:jc w:val="left"/>
              <w:rPr/>
            </w:pPr>
            <w:r>
              <w:rPr/>
              <w:t>Incomplete or outdated governance records (e.g. vacant Secretary/signatory role)</w:t>
            </w:r>
          </w:p>
        </w:tc>
        <w:tc>
          <w:tcPr>
            <w:tcW w:w="3460" w:type="dxa"/>
            <w:tcBorders/>
            <w:vAlign w:val="center"/>
          </w:tcPr>
          <w:p>
            <w:pPr>
              <w:pStyle w:val="TableContents"/>
              <w:bidi w:val="0"/>
              <w:spacing w:before="0" w:after="283"/>
              <w:jc w:val="left"/>
              <w:rPr/>
            </w:pPr>
            <w:r>
              <w:rPr/>
              <w:t>Delays in approving budget, contracts or payments requiring Board authorization</w:t>
            </w:r>
          </w:p>
        </w:tc>
        <w:tc>
          <w:tcPr>
            <w:tcW w:w="4521" w:type="dxa"/>
            <w:tcBorders/>
            <w:vAlign w:val="center"/>
          </w:tcPr>
          <w:p>
            <w:pPr>
              <w:pStyle w:val="TableContents"/>
              <w:bidi w:val="0"/>
              <w:spacing w:before="0" w:after="283"/>
              <w:jc w:val="left"/>
              <w:rPr/>
            </w:pPr>
            <w:r>
              <w:rPr/>
              <w:t>Board to formally update signatory/officer records before major funding decisions</w:t>
            </w:r>
          </w:p>
        </w:tc>
      </w:tr>
      <w:tr>
        <w:trPr/>
        <w:tc>
          <w:tcPr>
            <w:tcW w:w="3358" w:type="dxa"/>
            <w:tcBorders/>
            <w:vAlign w:val="center"/>
          </w:tcPr>
          <w:p>
            <w:pPr>
              <w:pStyle w:val="TableContents"/>
              <w:bidi w:val="0"/>
              <w:spacing w:before="0" w:after="283"/>
              <w:jc w:val="left"/>
              <w:rPr/>
            </w:pPr>
            <w:r>
              <w:rPr/>
              <w:t>Low user adoption across subsidiaries</w:t>
            </w:r>
          </w:p>
        </w:tc>
        <w:tc>
          <w:tcPr>
            <w:tcW w:w="3460" w:type="dxa"/>
            <w:tcBorders/>
            <w:vAlign w:val="center"/>
          </w:tcPr>
          <w:p>
            <w:pPr>
              <w:pStyle w:val="TableContents"/>
              <w:bidi w:val="0"/>
              <w:spacing w:before="0" w:after="283"/>
              <w:jc w:val="left"/>
              <w:rPr/>
            </w:pPr>
            <w:r>
              <w:rPr/>
              <w:t>Continued reliance on informal/manual processes; poor data quality</w:t>
            </w:r>
          </w:p>
        </w:tc>
        <w:tc>
          <w:tcPr>
            <w:tcW w:w="4521" w:type="dxa"/>
            <w:tcBorders/>
            <w:vAlign w:val="center"/>
          </w:tcPr>
          <w:p>
            <w:pPr>
              <w:pStyle w:val="TableContents"/>
              <w:bidi w:val="0"/>
              <w:spacing w:before="0" w:after="283"/>
              <w:jc w:val="left"/>
              <w:rPr/>
            </w:pPr>
            <w:r>
              <w:rPr/>
              <w:t>Structured training plan (per role) and phased/pilot rollout before full Group deployment</w:t>
            </w:r>
          </w:p>
        </w:tc>
      </w:tr>
      <w:tr>
        <w:trPr/>
        <w:tc>
          <w:tcPr>
            <w:tcW w:w="3358" w:type="dxa"/>
            <w:tcBorders/>
            <w:vAlign w:val="center"/>
          </w:tcPr>
          <w:p>
            <w:pPr>
              <w:pStyle w:val="TableContents"/>
              <w:bidi w:val="0"/>
              <w:spacing w:before="0" w:after="283"/>
              <w:jc w:val="left"/>
              <w:rPr/>
            </w:pPr>
            <w:r>
              <w:rPr/>
              <w:t>Data quality issues during migration</w:t>
            </w:r>
          </w:p>
        </w:tc>
        <w:tc>
          <w:tcPr>
            <w:tcW w:w="3460" w:type="dxa"/>
            <w:tcBorders/>
            <w:vAlign w:val="center"/>
          </w:tcPr>
          <w:p>
            <w:pPr>
              <w:pStyle w:val="TableContents"/>
              <w:bidi w:val="0"/>
              <w:spacing w:before="0" w:after="283"/>
              <w:jc w:val="left"/>
              <w:rPr/>
            </w:pPr>
            <w:r>
              <w:rPr/>
              <w:t>Incorrect opening balances, inventory or financial figures</w:t>
            </w:r>
          </w:p>
        </w:tc>
        <w:tc>
          <w:tcPr>
            <w:tcW w:w="4521" w:type="dxa"/>
            <w:tcBorders/>
            <w:vAlign w:val="center"/>
          </w:tcPr>
          <w:p>
            <w:pPr>
              <w:pStyle w:val="TableContents"/>
              <w:bidi w:val="0"/>
              <w:spacing w:before="0" w:after="283"/>
              <w:jc w:val="left"/>
              <w:rPr/>
            </w:pPr>
            <w:r>
              <w:rPr/>
              <w:t>Formal data migration process: clean, validate, test import, user verification before production import</w:t>
            </w:r>
          </w:p>
        </w:tc>
      </w:tr>
      <w:tr>
        <w:trPr/>
        <w:tc>
          <w:tcPr>
            <w:tcW w:w="3358" w:type="dxa"/>
            <w:tcBorders/>
            <w:vAlign w:val="center"/>
          </w:tcPr>
          <w:p>
            <w:pPr>
              <w:pStyle w:val="TableContents"/>
              <w:bidi w:val="0"/>
              <w:spacing w:before="0" w:after="283"/>
              <w:jc w:val="left"/>
              <w:rPr/>
            </w:pPr>
            <w:r>
              <w:rPr/>
              <w:t>Insufficient security controls</w:t>
            </w:r>
          </w:p>
        </w:tc>
        <w:tc>
          <w:tcPr>
            <w:tcW w:w="3460" w:type="dxa"/>
            <w:tcBorders/>
            <w:vAlign w:val="center"/>
          </w:tcPr>
          <w:p>
            <w:pPr>
              <w:pStyle w:val="TableContents"/>
              <w:bidi w:val="0"/>
              <w:spacing w:before="0" w:after="283"/>
              <w:jc w:val="left"/>
              <w:rPr/>
            </w:pPr>
            <w:r>
              <w:rPr/>
              <w:t>Unauthorized access to financial, HR or governance data</w:t>
            </w:r>
          </w:p>
        </w:tc>
        <w:tc>
          <w:tcPr>
            <w:tcW w:w="4521" w:type="dxa"/>
            <w:tcBorders/>
            <w:vAlign w:val="center"/>
          </w:tcPr>
          <w:p>
            <w:pPr>
              <w:pStyle w:val="TableContents"/>
              <w:bidi w:val="0"/>
              <w:spacing w:before="0" w:after="283"/>
              <w:jc w:val="left"/>
              <w:rPr/>
            </w:pPr>
            <w:r>
              <w:rPr/>
              <w:t>Mandatory role-based access control, encryption, audit logging and security testing prior to go-live</w:t>
            </w:r>
          </w:p>
        </w:tc>
      </w:tr>
      <w:tr>
        <w:trPr/>
        <w:tc>
          <w:tcPr>
            <w:tcW w:w="3358" w:type="dxa"/>
            <w:tcBorders/>
            <w:vAlign w:val="center"/>
          </w:tcPr>
          <w:p>
            <w:pPr>
              <w:pStyle w:val="TableContents"/>
              <w:bidi w:val="0"/>
              <w:spacing w:before="0" w:after="283"/>
              <w:jc w:val="left"/>
              <w:rPr/>
            </w:pPr>
            <w:r>
              <w:rPr/>
              <w:t>Undefined budget/timeline at this stage</w:t>
            </w:r>
          </w:p>
        </w:tc>
        <w:tc>
          <w:tcPr>
            <w:tcW w:w="3460" w:type="dxa"/>
            <w:tcBorders/>
            <w:vAlign w:val="center"/>
          </w:tcPr>
          <w:p>
            <w:pPr>
              <w:pStyle w:val="TableContents"/>
              <w:bidi w:val="0"/>
              <w:spacing w:before="0" w:after="283"/>
              <w:jc w:val="left"/>
              <w:rPr/>
            </w:pPr>
            <w:r>
              <w:rPr/>
              <w:t>Difficulty securing full Board commitment</w:t>
            </w:r>
          </w:p>
        </w:tc>
        <w:tc>
          <w:tcPr>
            <w:tcW w:w="4521" w:type="dxa"/>
            <w:tcBorders/>
            <w:vAlign w:val="center"/>
          </w:tcPr>
          <w:p>
            <w:pPr>
              <w:pStyle w:val="TableContents"/>
              <w:bidi w:val="0"/>
              <w:spacing w:before="0" w:after="283"/>
              <w:jc w:val="left"/>
              <w:rPr/>
            </w:pPr>
            <w:r>
              <w:rPr/>
              <w:t>Commission Feasibility Study and Project Plan immediately following Charter approval to quantify cost and schedule</w:t>
            </w:r>
          </w:p>
        </w:tc>
      </w:tr>
      <w:tr>
        <w:trPr/>
        <w:tc>
          <w:tcPr>
            <w:tcW w:w="3358" w:type="dxa"/>
            <w:tcBorders/>
            <w:vAlign w:val="center"/>
          </w:tcPr>
          <w:p>
            <w:pPr>
              <w:pStyle w:val="TableContents"/>
              <w:bidi w:val="0"/>
              <w:spacing w:before="0" w:after="283"/>
              <w:jc w:val="left"/>
              <w:rPr/>
            </w:pPr>
            <w:r>
              <w:rPr/>
              <w:t>Board expects Phase 1 to answer all management questions in Section 2.6</w:t>
            </w:r>
          </w:p>
        </w:tc>
        <w:tc>
          <w:tcPr>
            <w:tcW w:w="3460" w:type="dxa"/>
            <w:tcBorders/>
            <w:vAlign w:val="center"/>
          </w:tcPr>
          <w:p>
            <w:pPr>
              <w:pStyle w:val="TableContents"/>
              <w:bidi w:val="0"/>
              <w:spacing w:before="0" w:after="283"/>
              <w:jc w:val="left"/>
              <w:rPr/>
            </w:pPr>
            <w:r>
              <w:rPr/>
              <w:t>Perceived under-delivery, loss of confidence in the roadmap</w:t>
            </w:r>
          </w:p>
        </w:tc>
        <w:tc>
          <w:tcPr>
            <w:tcW w:w="4521" w:type="dxa"/>
            <w:tcBorders/>
            <w:vAlign w:val="center"/>
          </w:tcPr>
          <w:p>
            <w:pPr>
              <w:pStyle w:val="TableContents"/>
              <w:bidi w:val="0"/>
              <w:spacing w:before="0" w:after="283"/>
              <w:jc w:val="left"/>
              <w:rPr/>
            </w:pPr>
            <w:r>
              <w:rPr/>
              <w:t>Set expectations at approval time using the phase-by-phase answerability mapping in Section 2.6</w:t>
            </w:r>
          </w:p>
        </w:tc>
      </w:tr>
    </w:tbl>
    <w:p>
      <w:pPr>
        <w:pStyle w:val="Heading2"/>
        <w:bidi w:val="0"/>
        <w:jc w:val="left"/>
        <w:rPr/>
      </w:pPr>
      <w:r>
        <w:rPr/>
        <w:t>9. High-Level Roadmap</w:t>
      </w:r>
    </w:p>
    <w:p>
      <w:pPr>
        <w:pStyle w:val="BodyText"/>
        <w:bidi w:val="0"/>
        <w:jc w:val="left"/>
        <w:rPr/>
      </w:pPr>
      <w:r>
        <w:rPr/>
        <w:t>Indicative phase sequencing (detailed sprint-level scheduling to follow in the Project Plan):</w:t>
      </w:r>
    </w:p>
    <w:tbl>
      <w:tblPr>
        <w:tblW w:w="8463" w:type="dxa"/>
        <w:jc w:val="left"/>
        <w:tblInd w:w="28" w:type="dxa"/>
        <w:tblLayout w:type="fixed"/>
        <w:tblCellMar>
          <w:top w:w="28" w:type="dxa"/>
          <w:left w:w="28" w:type="dxa"/>
          <w:bottom w:w="28" w:type="dxa"/>
          <w:right w:w="28" w:type="dxa"/>
        </w:tblCellMar>
      </w:tblPr>
      <w:tblGrid>
        <w:gridCol w:w="711"/>
        <w:gridCol w:w="7752"/>
      </w:tblGrid>
      <w:tr>
        <w:trPr/>
        <w:tc>
          <w:tcPr>
            <w:tcW w:w="711" w:type="dxa"/>
            <w:tcBorders/>
            <w:vAlign w:val="center"/>
          </w:tcPr>
          <w:p>
            <w:pPr>
              <w:pStyle w:val="TableHeading"/>
              <w:suppressLineNumbers/>
              <w:shd w:fill="1F3864" w:val="clear"/>
              <w:bidi w:val="0"/>
              <w:spacing w:before="0" w:after="283"/>
              <w:jc w:val="left"/>
              <w:rPr/>
            </w:pPr>
            <w:r>
              <w:rPr/>
              <w:t>Stage</w:t>
            </w:r>
          </w:p>
        </w:tc>
        <w:tc>
          <w:tcPr>
            <w:tcW w:w="7752" w:type="dxa"/>
            <w:tcBorders/>
            <w:vAlign w:val="center"/>
          </w:tcPr>
          <w:p>
            <w:pPr>
              <w:pStyle w:val="TableHeading"/>
              <w:suppressLineNumbers/>
              <w:shd w:fill="1F3864" w:val="clear"/>
              <w:bidi w:val="0"/>
              <w:spacing w:before="0" w:after="283"/>
              <w:jc w:val="left"/>
              <w:rPr/>
            </w:pPr>
            <w:r>
              <w:rPr/>
              <w:t>Milestone</w:t>
            </w:r>
          </w:p>
        </w:tc>
      </w:tr>
      <w:tr>
        <w:trPr/>
        <w:tc>
          <w:tcPr>
            <w:tcW w:w="711" w:type="dxa"/>
            <w:tcBorders/>
            <w:vAlign w:val="center"/>
          </w:tcPr>
          <w:p>
            <w:pPr>
              <w:pStyle w:val="TableContents"/>
              <w:bidi w:val="0"/>
              <w:spacing w:before="0" w:after="283"/>
              <w:jc w:val="left"/>
              <w:rPr/>
            </w:pPr>
            <w:r>
              <w:rPr/>
              <w:t>1</w:t>
            </w:r>
          </w:p>
        </w:tc>
        <w:tc>
          <w:tcPr>
            <w:tcW w:w="7752" w:type="dxa"/>
            <w:tcBorders/>
            <w:vAlign w:val="center"/>
          </w:tcPr>
          <w:p>
            <w:pPr>
              <w:pStyle w:val="TableContents"/>
              <w:bidi w:val="0"/>
              <w:spacing w:before="0" w:after="283"/>
              <w:jc w:val="left"/>
              <w:rPr/>
            </w:pPr>
            <w:r>
              <w:rPr/>
              <w:t>Charter approval by the Board (this document)</w:t>
            </w:r>
          </w:p>
        </w:tc>
      </w:tr>
      <w:tr>
        <w:trPr/>
        <w:tc>
          <w:tcPr>
            <w:tcW w:w="711" w:type="dxa"/>
            <w:tcBorders/>
            <w:vAlign w:val="center"/>
          </w:tcPr>
          <w:p>
            <w:pPr>
              <w:pStyle w:val="TableContents"/>
              <w:bidi w:val="0"/>
              <w:spacing w:before="0" w:after="283"/>
              <w:jc w:val="left"/>
              <w:rPr/>
            </w:pPr>
            <w:r>
              <w:rPr/>
              <w:t>2</w:t>
            </w:r>
          </w:p>
        </w:tc>
        <w:tc>
          <w:tcPr>
            <w:tcW w:w="7752" w:type="dxa"/>
            <w:tcBorders/>
            <w:vAlign w:val="center"/>
          </w:tcPr>
          <w:p>
            <w:pPr>
              <w:pStyle w:val="TableContents"/>
              <w:bidi w:val="0"/>
              <w:spacing w:before="0" w:after="283"/>
              <w:jc w:val="left"/>
              <w:rPr/>
            </w:pPr>
            <w:r>
              <w:rPr/>
              <w:t>Feasibility Study and Software Requirements Specification (SRS) — completed</w:t>
            </w:r>
          </w:p>
        </w:tc>
      </w:tr>
      <w:tr>
        <w:trPr/>
        <w:tc>
          <w:tcPr>
            <w:tcW w:w="711" w:type="dxa"/>
            <w:tcBorders/>
            <w:vAlign w:val="center"/>
          </w:tcPr>
          <w:p>
            <w:pPr>
              <w:pStyle w:val="TableContents"/>
              <w:bidi w:val="0"/>
              <w:spacing w:before="0" w:after="283"/>
              <w:jc w:val="left"/>
              <w:rPr/>
            </w:pPr>
            <w:r>
              <w:rPr/>
              <w:t>3</w:t>
            </w:r>
          </w:p>
        </w:tc>
        <w:tc>
          <w:tcPr>
            <w:tcW w:w="7752" w:type="dxa"/>
            <w:tcBorders/>
            <w:vAlign w:val="center"/>
          </w:tcPr>
          <w:p>
            <w:pPr>
              <w:pStyle w:val="TableContents"/>
              <w:bidi w:val="0"/>
              <w:spacing w:before="0" w:after="283"/>
              <w:jc w:val="left"/>
              <w:rPr/>
            </w:pPr>
            <w:r>
              <w:rPr/>
              <w:t>System architecture, database design and UI/UX design</w:t>
            </w:r>
          </w:p>
        </w:tc>
      </w:tr>
      <w:tr>
        <w:trPr/>
        <w:tc>
          <w:tcPr>
            <w:tcW w:w="711" w:type="dxa"/>
            <w:tcBorders/>
            <w:vAlign w:val="center"/>
          </w:tcPr>
          <w:p>
            <w:pPr>
              <w:pStyle w:val="TableContents"/>
              <w:bidi w:val="0"/>
              <w:spacing w:before="0" w:after="283"/>
              <w:jc w:val="left"/>
              <w:rPr/>
            </w:pPr>
            <w:r>
              <w:rPr/>
              <w:t>4</w:t>
            </w:r>
          </w:p>
        </w:tc>
        <w:tc>
          <w:tcPr>
            <w:tcW w:w="7752" w:type="dxa"/>
            <w:tcBorders/>
            <w:vAlign w:val="center"/>
          </w:tcPr>
          <w:p>
            <w:pPr>
              <w:pStyle w:val="TableContents"/>
              <w:bidi w:val="0"/>
              <w:spacing w:before="0" w:after="283"/>
              <w:jc w:val="left"/>
              <w:rPr/>
            </w:pPr>
            <w:r>
              <w:rPr/>
              <w:t>Phase 1 (Core/MVP) development and internal testing</w:t>
            </w:r>
          </w:p>
        </w:tc>
      </w:tr>
      <w:tr>
        <w:trPr/>
        <w:tc>
          <w:tcPr>
            <w:tcW w:w="711" w:type="dxa"/>
            <w:tcBorders/>
            <w:vAlign w:val="center"/>
          </w:tcPr>
          <w:p>
            <w:pPr>
              <w:pStyle w:val="TableContents"/>
              <w:bidi w:val="0"/>
              <w:spacing w:before="0" w:after="283"/>
              <w:jc w:val="left"/>
              <w:rPr/>
            </w:pPr>
            <w:r>
              <w:rPr/>
              <w:t>5</w:t>
            </w:r>
          </w:p>
        </w:tc>
        <w:tc>
          <w:tcPr>
            <w:tcW w:w="7752" w:type="dxa"/>
            <w:tcBorders/>
            <w:vAlign w:val="center"/>
          </w:tcPr>
          <w:p>
            <w:pPr>
              <w:pStyle w:val="TableContents"/>
              <w:bidi w:val="0"/>
              <w:spacing w:before="0" w:after="283"/>
              <w:jc w:val="left"/>
              <w:rPr/>
            </w:pPr>
            <w:r>
              <w:rPr/>
              <w:t>User Acceptance Testing (UAT) with representatives from major departments</w:t>
            </w:r>
          </w:p>
        </w:tc>
      </w:tr>
      <w:tr>
        <w:trPr/>
        <w:tc>
          <w:tcPr>
            <w:tcW w:w="711" w:type="dxa"/>
            <w:tcBorders/>
            <w:vAlign w:val="center"/>
          </w:tcPr>
          <w:p>
            <w:pPr>
              <w:pStyle w:val="TableContents"/>
              <w:bidi w:val="0"/>
              <w:spacing w:before="0" w:after="283"/>
              <w:jc w:val="left"/>
              <w:rPr/>
            </w:pPr>
            <w:r>
              <w:rPr/>
              <w:t>6</w:t>
            </w:r>
          </w:p>
        </w:tc>
        <w:tc>
          <w:tcPr>
            <w:tcW w:w="7752" w:type="dxa"/>
            <w:tcBorders/>
            <w:vAlign w:val="center"/>
          </w:tcPr>
          <w:p>
            <w:pPr>
              <w:pStyle w:val="TableContents"/>
              <w:bidi w:val="0"/>
              <w:spacing w:before="0" w:after="283"/>
              <w:jc w:val="left"/>
              <w:rPr/>
            </w:pPr>
            <w:r>
              <w:rPr/>
              <w:t>Pilot deployment to one subsidiary, issue resolution</w:t>
            </w:r>
          </w:p>
        </w:tc>
      </w:tr>
      <w:tr>
        <w:trPr/>
        <w:tc>
          <w:tcPr>
            <w:tcW w:w="711" w:type="dxa"/>
            <w:tcBorders/>
            <w:vAlign w:val="center"/>
          </w:tcPr>
          <w:p>
            <w:pPr>
              <w:pStyle w:val="TableContents"/>
              <w:bidi w:val="0"/>
              <w:spacing w:before="0" w:after="283"/>
              <w:jc w:val="left"/>
              <w:rPr/>
            </w:pPr>
            <w:r>
              <w:rPr/>
              <w:t>7</w:t>
            </w:r>
          </w:p>
        </w:tc>
        <w:tc>
          <w:tcPr>
            <w:tcW w:w="7752" w:type="dxa"/>
            <w:tcBorders/>
            <w:vAlign w:val="center"/>
          </w:tcPr>
          <w:p>
            <w:pPr>
              <w:pStyle w:val="TableContents"/>
              <w:bidi w:val="0"/>
              <w:spacing w:before="0" w:after="283"/>
              <w:jc w:val="left"/>
              <w:rPr/>
            </w:pPr>
            <w:r>
              <w:rPr/>
              <w:t>Phased rollout to remaining subsidiaries and branches</w:t>
            </w:r>
          </w:p>
        </w:tc>
      </w:tr>
      <w:tr>
        <w:trPr/>
        <w:tc>
          <w:tcPr>
            <w:tcW w:w="711" w:type="dxa"/>
            <w:tcBorders/>
            <w:vAlign w:val="center"/>
          </w:tcPr>
          <w:p>
            <w:pPr>
              <w:pStyle w:val="TableContents"/>
              <w:bidi w:val="0"/>
              <w:spacing w:before="0" w:after="283"/>
              <w:jc w:val="left"/>
              <w:rPr/>
            </w:pPr>
            <w:r>
              <w:rPr/>
              <w:t>8</w:t>
            </w:r>
          </w:p>
        </w:tc>
        <w:tc>
          <w:tcPr>
            <w:tcW w:w="7752" w:type="dxa"/>
            <w:tcBorders/>
            <w:vAlign w:val="center"/>
          </w:tcPr>
          <w:p>
            <w:pPr>
              <w:pStyle w:val="TableContents"/>
              <w:bidi w:val="0"/>
              <w:spacing w:before="0" w:after="283"/>
              <w:jc w:val="left"/>
              <w:rPr/>
            </w:pPr>
            <w:r>
              <w:rPr/>
              <w:t>Phase 2–5 releases, each separately scoped and approved</w:t>
            </w:r>
          </w:p>
        </w:tc>
      </w:tr>
    </w:tbl>
    <w:p>
      <w:pPr>
        <w:pStyle w:val="Heading2"/>
        <w:bidi w:val="0"/>
        <w:jc w:val="left"/>
        <w:rPr/>
      </w:pPr>
      <w:r>
        <w:rPr/>
        <w:t>10. Budget</w:t>
      </w:r>
    </w:p>
    <w:p>
      <w:pPr>
        <w:pStyle w:val="BodyText"/>
        <w:bidi w:val="0"/>
        <w:jc w:val="left"/>
        <w:rPr/>
      </w:pPr>
      <w:r>
        <w:rPr/>
        <w:t>A detailed budget is not yet established. Indicative cost categories, phase-by-phase cost weighting and funding-source options are set out in 01_Project Proposal, Section 9. The Board is asked to approve funding for the Feasibility Study and SRS phase as the immediate next step (now complete); full Phase 1 development budget approval will follow once vendor quotations quantify cost, per the Feasibility Study's recommendation.</w:t>
      </w:r>
    </w:p>
    <w:p>
      <w:pPr>
        <w:pStyle w:val="Heading2"/>
        <w:bidi w:val="0"/>
        <w:jc w:val="left"/>
        <w:rPr/>
      </w:pPr>
      <w:r>
        <w:rPr/>
        <w:t>11. Success Criteria</w:t>
      </w:r>
    </w:p>
    <w:p>
      <w:pPr>
        <w:pStyle w:val="BodyText"/>
        <w:numPr>
          <w:ilvl w:val="0"/>
          <w:numId w:val="9"/>
        </w:numPr>
        <w:tabs>
          <w:tab w:val="clear" w:pos="1134"/>
          <w:tab w:val="left" w:pos="709" w:leader="none"/>
        </w:tabs>
        <w:bidi w:val="0"/>
        <w:spacing w:before="0" w:after="0"/>
        <w:ind w:hanging="283" w:left="709"/>
        <w:jc w:val="left"/>
        <w:rPr/>
      </w:pPr>
      <w:r>
        <w:rPr/>
        <w:t xml:space="preserve">Board approval obtained to proceed to Phase 1 development following this Charter and the completed Feasibility Study/SRS. </w:t>
      </w:r>
    </w:p>
    <w:p>
      <w:pPr>
        <w:pStyle w:val="BodyText"/>
        <w:numPr>
          <w:ilvl w:val="0"/>
          <w:numId w:val="9"/>
        </w:numPr>
        <w:tabs>
          <w:tab w:val="clear" w:pos="1134"/>
          <w:tab w:val="left" w:pos="709" w:leader="none"/>
        </w:tabs>
        <w:bidi w:val="0"/>
        <w:spacing w:before="0" w:after="0"/>
        <w:ind w:hanging="283" w:left="709"/>
        <w:jc w:val="left"/>
        <w:rPr/>
      </w:pPr>
      <w:r>
        <w:rPr/>
        <w:t xml:space="preserve">Phase 1 (Core/MVP) delivered and passing User Acceptance Testing with representatives from Finance, HR, Procurement, Sales and Operations. </w:t>
      </w:r>
    </w:p>
    <w:p>
      <w:pPr>
        <w:pStyle w:val="BodyText"/>
        <w:numPr>
          <w:ilvl w:val="0"/>
          <w:numId w:val="9"/>
        </w:numPr>
        <w:tabs>
          <w:tab w:val="clear" w:pos="1134"/>
          <w:tab w:val="left" w:pos="709" w:leader="none"/>
        </w:tabs>
        <w:bidi w:val="0"/>
        <w:spacing w:before="0" w:after="0"/>
        <w:ind w:hanging="283" w:left="709"/>
        <w:jc w:val="left"/>
        <w:rPr/>
      </w:pPr>
      <w:r>
        <w:rPr/>
        <w:t xml:space="preserve">Group and subsidiary-level dashboards provide management with real-time visibility into headcount and core organizational data, per Section 2.6. </w:t>
      </w:r>
    </w:p>
    <w:p>
      <w:pPr>
        <w:pStyle w:val="BodyText"/>
        <w:numPr>
          <w:ilvl w:val="0"/>
          <w:numId w:val="9"/>
        </w:numPr>
        <w:tabs>
          <w:tab w:val="clear" w:pos="1134"/>
          <w:tab w:val="left" w:pos="709" w:leader="none"/>
        </w:tabs>
        <w:bidi w:val="0"/>
        <w:spacing w:before="0" w:after="0"/>
        <w:ind w:hanging="283" w:left="709"/>
        <w:jc w:val="left"/>
        <w:rPr/>
      </w:pPr>
      <w:r>
        <w:rPr/>
        <w:t xml:space="preserve">All financial and approval transactions are captured in a complete, auditable system trail. </w:t>
      </w:r>
    </w:p>
    <w:p>
      <w:pPr>
        <w:pStyle w:val="BodyText"/>
        <w:numPr>
          <w:ilvl w:val="0"/>
          <w:numId w:val="9"/>
        </w:numPr>
        <w:tabs>
          <w:tab w:val="clear" w:pos="1134"/>
          <w:tab w:val="left" w:pos="709" w:leader="none"/>
        </w:tabs>
        <w:bidi w:val="0"/>
        <w:ind w:hanging="283" w:left="709"/>
        <w:jc w:val="left"/>
        <w:rPr/>
      </w:pPr>
      <w:r>
        <w:rPr/>
        <w:t xml:space="preserve">Each subsequent phase is delivered against its own approved scope, budget and timeline without material overrun, progressively answering the management questions in Section 2.6. </w:t>
      </w:r>
    </w:p>
    <w:p>
      <w:pPr>
        <w:pStyle w:val="Heading2"/>
        <w:bidi w:val="0"/>
        <w:jc w:val="left"/>
        <w:rPr/>
      </w:pPr>
      <w:r>
        <w:rPr/>
        <w:t>12. Approval and Authorization</w:t>
      </w:r>
    </w:p>
    <w:p>
      <w:pPr>
        <w:pStyle w:val="BodyText"/>
        <w:bidi w:val="0"/>
        <w:jc w:val="left"/>
        <w:rPr/>
      </w:pPr>
      <w:r>
        <w:rPr/>
        <w:t>This Charter is submitted to the Board of Directors of Morise Holdings Limited for review and approval to proceed to Phase 1 development, on the basis of the completed Feasibility Study and Software Requirements Specification.</w:t>
      </w:r>
    </w:p>
    <w:p>
      <w:pPr>
        <w:pStyle w:val="BodyText"/>
        <w:bidi w:val="0"/>
        <w:spacing w:before="150" w:after="283"/>
        <w:ind w:hanging="0" w:left="0" w:right="0"/>
        <w:jc w:val="left"/>
        <w:rPr>
          <w:b/>
        </w:rPr>
      </w:pPr>
      <w:r>
        <w:rPr>
          <w:b/>
        </w:rPr>
        <w:t>Okurut Mathias</w:t>
      </w:r>
    </w:p>
    <w:p>
      <w:pPr>
        <w:pStyle w:val="BodyText"/>
        <w:bidi w:val="0"/>
        <w:spacing w:before="600" w:after="283"/>
        <w:ind w:hanging="0" w:left="0" w:right="0"/>
        <w:jc w:val="left"/>
        <w:rPr>
          <w:sz w:val="21"/>
          <w:bdr w:val="single" w:sz="2" w:space="3" w:color="333333"/>
        </w:rPr>
      </w:pPr>
      <w:r>
        <w:rPr>
          <w:sz w:val="21"/>
          <w:bdr w:val="single" w:sz="2" w:space="3" w:color="333333"/>
        </w:rPr>
        <w:t>Managing Director — Signature &amp; Date</w:t>
      </w:r>
    </w:p>
    <w:p>
      <w:pPr>
        <w:pStyle w:val="BodyText"/>
        <w:bidi w:val="0"/>
        <w:spacing w:before="150" w:after="283"/>
        <w:ind w:hanging="0" w:left="0" w:right="0"/>
        <w:jc w:val="left"/>
        <w:rPr/>
      </w:pPr>
      <w:r>
        <w:rPr>
          <w:b/>
        </w:rPr>
        <w:t>Secretary</w:t>
      </w:r>
      <w:r>
        <w:rPr/>
        <w:t xml:space="preserve"> </w:t>
      </w:r>
      <w:r>
        <w:rPr>
          <w:i/>
        </w:rPr>
        <w:t>(position to be confirmed by the Board — see Section 5.1)</w:t>
      </w:r>
    </w:p>
    <w:p>
      <w:pPr>
        <w:pStyle w:val="BodyText"/>
        <w:bidi w:val="0"/>
        <w:spacing w:before="600" w:after="283"/>
        <w:ind w:hanging="0" w:left="0" w:right="0"/>
        <w:jc w:val="left"/>
        <w:rPr>
          <w:sz w:val="21"/>
          <w:bdr w:val="single" w:sz="2" w:space="3" w:color="333333"/>
        </w:rPr>
      </w:pPr>
      <w:r>
        <w:rPr>
          <w:sz w:val="21"/>
          <w:bdr w:val="single" w:sz="2" w:space="3" w:color="333333"/>
        </w:rPr>
        <w:t>Secretary — Signature &amp; Date</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Board Resolution for Morise Holdings Limited (14 June 2019); Morise Holdings Limited Business Management System scope document (morise.docx — Sections 1, 2, 3, 56 and 58 in particular); Multi Holdings Limited Software Development Procedures and Implementation Blueprint; Needed Project Documents checklist; 01_Project Proposal; 03_Feasibility Study; 04_Software Requirements Specification. Financial figures, firm dates and named project roles beyond those on record are intentionally left as placeholders pending vendor quotations and the Project Plan. </w:t>
      </w:r>
    </w:p>
    <w:p>
      <w:pPr>
        <w:pStyle w:val="Heading1"/>
      </w:pPr>
      <w:r>
        <w:t>13. Implementation Status Update (18 August 2026)</w:t>
      </w:r>
    </w:p>
    <w:p>
      <w:r>
        <w:t>Section 6's headline requirements — multi-company/branch/department structure with parent/subsidiary relationships (Section 2.2), and role-based access restricting data by company and branch — are demonstrated working end-to-end for Sprint 1 (Identity) and Sprint 2 (Organization) of Phase 1, per 17_Development Plan's sprint sequence.</w:t>
      </w:r>
    </w:p>
    <w:p>
      <w:r>
        <w:t>Architecture gap — please read before relying on this update: the Group's own document set (07_System Design Document v2.0, ADR-02/03/04/05) records that Phase 1 was directed to be built as a full microservices architecture — eight independently deployable services plus an API Gateway, Kafka event streaming, a database-per-service pattern, and a full observability stack — superseding an earlier modular-monolith recommendation (03_Feasibility Study, Section 3.1.1). What is described below is that earlier, superseded monolith approach: a single NestJS application against one PostgreSQL database, with no API Gateway, no Kafka, no per-service databases, and no observability stack. It is offered as a fast proof-of-concept that validates the Sprint 1+2 business logic and data model end-to-end, not as a conforming implementation of the currently-approved architecture. Decomposing it into true microservices remains substantial, unstarted work.</w:t>
      </w:r>
    </w:p>
    <w:p>
      <w:r>
        <w:t>This is two of Phase 1's roughly nine service-level sprints (Section 4.1). Employees, Customers, Suppliers, Products, Basic Accounting, Audit Trail and Dashboard — and therefore Section 11's success criteria as a whole — remain outstanding. Code lives in mbms/, alongside this documentation set (docx/) and the Administrator/Customer mockups (screenshots/). See mbms/README.md for exact run instructions and seeded demo credentials.</w:t>
      </w:r>
    </w:p>
    <w:p>
      <w:pPr>
        <w:pStyle w:val="Heading1"/>
      </w:pPr>
      <w:r>
        <w:t>14. Implementation Status Update 2 (18 August 2026)</w:t>
      </w:r>
    </w:p>
    <w:p>
      <w:r>
        <w:t>The Board's Section 4.1 Phase 1 module list now has working code for five of its nine representative modules: Authentication, Company/branch/department management, User/role/permission management, Employees, and Basic accounting — plus Dashboard. Customers, Suppliers, Products and the audit trail remain outstanding.</w:t>
      </w:r>
    </w:p>
    <w:p>
      <w:r>
        <w:t>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w:t>
      </w:r>
    </w:p>
    <w:p>
      <w:r>
        <w:t>See mbms/README.md for exact run instructions and seeded demo credentials.</w:t>
      </w:r>
    </w:p>
    <w:p>
      <w:pPr>
        <w:pStyle w:val="Heading1"/>
      </w:pPr>
      <w:r>
        <w:t>15. Implementation Status Update 3 (18 August 2026)</w:t>
      </w:r>
    </w:p>
    <w:p>
      <w:r>
        <w:t>Section 4.1's Phase 1 module list now has working code for seven of its nine representative modules — only Products remains. Section 2.6's management-question table can now answer one more question directly from Phase 1 data: which suppliers are blacklisted, and which customers are near their credit limit — though 'how much does each company owe suppliers / how much do customers owe the group' (Section 2.6's actual example questions) still cannot be answered, since that needs Phase 2 sales/procurement transactions, not just the customer/supplier master records this update adds.</w:t>
      </w:r>
    </w:p>
    <w:p>
      <w:r>
        <w:t>Architecture note, unchanged from the previous two updates: Customers and Suppliers were added as two more modules of the same single NestJS application — still not the microservices architecture 07_System Design Document (v2.0) records as the Group's actual direction. See mbms/README.md for exact run instructions and seeded demo credentials.</w:t>
      </w:r>
    </w:p>
    <w:p>
      <w:pPr>
        <w:pStyle w:val="Heading1"/>
      </w:pPr>
      <w:r>
        <w:t>16. Implementation Status Update 4 (18 August 2026)</w:t>
      </w:r>
    </w:p>
    <w:p>
      <w:r>
        <w:t>Section 4.1's Phase 1 module list is now fully covered by working code — all nine representative modules. Section 11's success criteria that depend on functional completeness (not yet UAT sign-off, which remains outstanding per every previous update) are now technically demonstrable end to end for the first time.</w:t>
      </w:r>
    </w:p>
    <w:p>
      <w:r>
        <w:t>Architecture note, unchanged since the first update: Products was added as one more module of the same single NestJS application — still not the microservices architecture 07_System Design Document (v2.0) records as the Group's actual direction. See mbms/README.md for exact run instructions and seeded demo credentials.</w:t>
      </w:r>
    </w:p>
    <w:p>
      <w:pPr>
        <w:pStyle w:val="Heading1"/>
      </w:pPr>
      <w:r>
        <w:t>17. Implementation Status Update 5 (18 August 2026) — Phase 1 Module List Complete</w:t>
      </w:r>
    </w:p>
    <w:p>
      <w:r>
        <w:t>Section 4.1's full Phase 1 module list — all nine representative modules plus the audit trail implied by Section 3's "complete... audit trail" objective — now has working code. Section 11's success criteria ("All financial and approval transactions are captured in a complete, auditable system trail") is technically demonstrable for the first time, for the specific transactions this proof-of-concept's representative audit coverage actually captures (see 04_SRS's update for exactly which ones).</w:t>
      </w:r>
    </w:p>
    <w:p>
      <w:r>
        <w:t>Architecture note, unchanged since the first update: the Audit Trail was built as a shared, in-process AuditService every module calls directly and synchronously — not the Kafka-consuming Audit &amp; Reporting Service 07_System Design Document (v2.0) specifies. Functionally equivalent (the same event data lands in the same table shape), but a synchronous in-process call standing in for what should be an async publish/consume pair across independently deployable services. See mbms/README.md for exact run instructions and seeded demo credentials.</w:t>
      </w:r>
    </w:p>
    <w:p>
      <w:pPr>
        <w:pStyle w:val="Heading1"/>
      </w:pPr>
      <w:r>
        <w:t>18. Implementation Status Update 6 (18 August 2026) — Sprint 1 Re-verified</w:t>
      </w:r>
    </w:p>
    <w:p>
      <w:r>
        <w:t>Section 11's success criteria implicitly assume every requirement that was marked "implemented" in an earlier status update actually still holds under closer inspection — this update tested that assumption for Sprint 1 specifically and found it only partly true. Three gaps were found and fixed: FR-AUTH-04's password policy was checked in as a hardcoded 8-character minimum with no complexity rule and nothing configurable about it; FR-USER-04's scope assignment had company and branch but not department; FR-USER-06's 'assign ... specific permissions to a user' half was never built — only role assignment existed, with no way to grant one permission directly to a user without creating or editing a role. All three are now implemented and re-verified end-to-end, including a role-less test user who was granted only a direct permission and successfully exercised exactly the one endpoint that permission gates. See mbms/README.md, "Sprint 1 verification pass", for the full detail and verification method.</w:t>
      </w:r>
    </w:p>
    <w:p>
      <w:pPr>
        <w:pStyle w:val="Heading1"/>
      </w:pPr>
      <w:r>
        <w:t>19. Implementation Status Update 7 (18 August 2026) — Sprint 2 Re-verified</w:t>
      </w:r>
    </w:p>
    <w:p>
      <w:r>
        <w:t>The demo-reachability gap found this update is a useful data point for Section 11's success criteria: code being correctly written is not the same as a stakeholder being able to actually exercise it in a demo — the permission and the UI gate both existed and both worked as written, but pointed at a role nobody was assigned. Three requirement gaps were found and fixed: FR-COMP-03 had no way to distinguish a subsidiary from an associate/affiliate — every non-root company was created the same way; FR-COMP-05 had the parent/subsidiary link but no ownership percentage; FR-COMP-06's logoUrl column existed in the schema but neither create nor update DTO exposed it, so it was silently unsettable via the API. A fourth, non-requirement gap was also found and fixed: no seeded demo user held the permission needed to create or edit a company at all, and the frontend's create buttons were separately gated by a hardcoded role check matching nobody either — so this whole area was previously unreachable through the demo even though the underlying code mostly worked. See mbms/README.md, "Sprint 2 verification pass", for the full detail and verification method.</w:t>
      </w:r>
    </w:p>
    <w:p>
      <w:pPr>
        <w:pStyle w:val="Heading1"/>
      </w:pPr>
      <w:r>
        <w:t>20. Implementation Status Update 8 (18 August 2026) — Sprint 3 Re-verified</w:t>
      </w:r>
    </w:p>
    <w:p>
      <w:r>
        <w:t>The UI-completeness gap found this update is the same category as Sprint 2's demo-reachability gap, applied to form fields rather than permissions: a field can be correctly modeled, correctly validated, correctly masked on read, and still be practically invisible to a real user if no form ever collects it. Two requirement gaps were found and fixed: FR-EMP-02 had contract type and start/end dates but no job description field; FR-EMP-03 (qualifications/skills/certifications) had no field at all — already flagged "Not started" in an earlier update and unchanged until this pass. A third, larger gap was also found and fixed: the Employees create form only ever exposed six of the roughly seventeen fields the API accepts — national ID, contract type, next of kin, emergency contact and bank/tax fields all existed correctly in the schema and API (and were correctly masked on read) but had no way to be entered through the UI at all, the same class of gap as Sprint 2's demo-reachability issue. See mbms/README.md, "Sprint 3 verification pass", for the full detail and verification method.</w:t>
      </w:r>
    </w:p>
    <w:p>
      <w:pPr>
        <w:pStyle w:val="Heading1"/>
      </w:pPr>
      <w:r>
        <w:t>21. Implementation Status Update 9 (18 August 2026) — Sprint 4 Re-verified</w:t>
      </w:r>
    </w:p>
    <w:p>
      <w:r>
        <w:t>The missing-audit-call gap found this update (supplier update not recorded) is a useful data point for Section 11's success criteria specifically: it is exactly the kind of silent, non-crashing gap that only a deliberate audit-coverage re-check would catch, not ordinary functional testing, since the update itself worked correctly — it simply left no trace. One requirement gap was found and fixed: FR-SUPP-02 had tax ID and bank details but nothing for contracts at all — a contractReference and contractExpiryDate field were added. A second issue, an audit gap, was also fixed: supplier update never called AuditService, unlike create/blacklist/unblacklist. A third issue, the same UI-completeness class of gap found in Sprint 3, was fixed for both services: the Suppliers create form only exposed 4 of the roughly 10 fields the API accepts (missing contact email/phone, address, bank details), and the Customers create form only exposed 4 of 6 (missing email and address) — all now collectable through the UI. See mbms/README.md, "Sprint 4 verification pass", for the full detail and verification method.</w:t>
      </w:r>
    </w:p>
    <w:p>
      <w:pPr>
        <w:pStyle w:val="Heading1"/>
      </w:pPr>
      <w:r>
        <w:t>22. Implementation Status Update 10 (18 August 2026) — Sprint 5 Re-verified</w:t>
      </w:r>
    </w:p>
    <w:p>
      <w:r>
        <w:t>Scope note: the request that opened this sprint also named "warehouses," but 04_Software Requirements Specification, Section 4.8's own text explicitly defers stock locations, warehouses, stock movements and inventory valuation to Phase 2 — the same boundary already held for every other Phase 2+ feature throughout this project. Asked how to handle the mismatch, the choice was to keep this pass scoped to Products/Categories only, consistent with that boundary — no warehouse or stock-location code was added. This kind of scope check — catching a request that reaches past an already-documented phase boundary before writing code against it — is exactly the discipline Section 11's success criteria depend on: staying inside the approved scope is as much a success condition as building what is in scope correctly.</w:t>
      </w:r>
    </w:p>
    <w:p>
      <w:r>
        <w:t>One requirement gap was found and fixed: FR-PROD-01 ("products/services") had no way to distinguish the two — a productType field was added. Two audit gaps were also fixed: product update and category create never called AuditService, unlike product create. A UI gap was fixed too: the create form was missing barcode and description fields that already existed correctly in the schema and API. See mbms/README.md, "Sprint 5 verification pass", for the full detail and verification method.</w:t>
      </w:r>
    </w:p>
    <w:p>
      <w:pPr>
        <w:pStyle w:val="Heading1"/>
      </w:pPr>
      <w:r>
        <w:t>23. Implementation Status Update 11 (18 August 2026) — Sprint 6 Re-verified</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 Recognizing a request that names something outside the approved scope, before writing any code against it, is itself part of the discipline Section 11's success criteria depend on — the same judgment call already made once in the previous update (warehouses) and applied consistently here.</w:t>
      </w:r>
    </w:p>
    <w:p>
      <w:r>
        <w:t>Two requirement gaps were found and fixed: FR-ACC-03 only had a trial balance report (an account-level summary), not an actual general ledger (a transaction-level, running-balance view per account) — a new general ledger report was added. FR-DASH-02's chart-of-accounts summary was only reachable via accounting.viewAll, a Group-level-only permission — a subsidiary-scoped Finance Manager could never see it on their own dashboard; now included there for anyone holding either accounting permission for that company. Audit Trail was re-checked with no new gaps found, plus a documented clarification that the 'delete' audit action never fires anywhere, since this system uses status changes instead of hard deletes throughout, by design. See mbms/README.md, "Sprint 6 verification pass", for the full detail and verification method.</w:t>
      </w:r>
    </w:p>
    <w:p>
      <w:pPr>
        <w:pStyle w:val="Heading1"/>
      </w:pPr>
      <w:r>
        <w:t>24. Implementation Status Update 12 (18 August 2026) — Sprint 7 Security Testing</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 This is the third consecutive sprint where the requested label didn't match either the approved Phase 1 scope or this plan's own sprint definitions — a pattern worth a note for whoever plans future sprint requests: checking a request against both 04_SRS's scope boundary and 17_Development Plan's own sprint table before starting work has now caught three separate mismatches in a row.</w:t>
      </w:r>
    </w:p>
    <w:p>
      <w:r>
        <w:t>10_Test Plan Sections 3.3 (Contract Testing) and 3.4 (System/E2E Testing) are written against the approved Kafka/microservices architecture and don't apply as literally specified to this monolith — the same architecture gap noted throughout this document set; their spirit is what every sprint's curl/Playwright verification has already been doing since Sprint 1. Section 3.5 (Security Testing) does apply regardless of architecture and was run in full: SEC-01 (server-side RBAC), SEC-02 (SQL injection/XSS), SEC-05 (rate limiting) and SEC-06 (admin actions audited) were all confirmed working live, with one polish fix (a leaking internal exception message on rate-limited responses, now cleaned up). SEC-03 (CSRF) is structurally not applicable — Bearer-token auth, no cookies. SEC-04 (file upload validation) is not applicable — no file upload exists anywhere in this system. SEC-07 (2FA, Could priority) remains not implemented. NFR-08 (TLS) is a deployment concern, out of scope locally; NFR-09 (password hashing) was confirmed — bcrypt, cost factor 12, everywhere. See mbms/README.md, "Sprint 7: security testing pass", for the full detail and verification method.</w:t>
      </w:r>
    </w:p>
    <w:p>
      <w:pPr>
        <w:pStyle w:val="Heading1"/>
      </w:pPr>
      <w:r>
        <w:t>25. Implementation Status Update 13 (18 August 2026) — Critical Scope-Bypass Bug Found and Fixed</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 This is the clearest demonstration yet in this document set of why Section 11's success criteria should require adversarial, exploratory testing (Alpha-style browsing) in addition to scripted test cases and code review — this bug passed every prior sprint's scoped verification because those checks never tried supplying an explicit, out-of-scope filter value; it took deliberately trying to break the system the way Section 5.2's checklist directs.</w:t>
      </w:r>
    </w:p>
    <w:p>
      <w:r>
        <w:t>CRITICAL finding, fixed: Employees, Customers, Suppliers and Products' list() methods each used a caller-supplied filter[companyId] query parameter verbatim, with no check that it was actually one of the caller's own scoped companies — a scoped user (e.g. an HR Manager scoped only to one subsidiary) could pass filter[companyId]=&lt;any other company&gt; and receive that company's real records, including unmasked bank account numbers for Employees where the caller held employee.view.sensitive for their own company. This is a direct BR-01 violation. Found via 13_Alpha Test Plan Section 5.2's exploratory checklist (browsing for a module reachable by a role that shouldn't have access), not a scripted test case. Fixed in all four services: an out-of-scope filter[companyId] now falls back to the caller's real scope instead of being honored. Verified with the exact attack that found it, across all four services, plus confirmation that legitimate own-scope filtering still works normally. See mbms/README.md, "Sprint 8: performance, Alpha and UAT pass", for the full detail and verification method.</w:t>
      </w:r>
    </w:p>
    <w:p>
      <w:pPr>
        <w:pStyle w:val="Heading1"/>
      </w:pPr>
      <w:r>
        <w:t>26. Implementation Status Update 14 (18 August 2026) — Sprint 9: Expense Management (Phase 2)</w:t>
      </w:r>
    </w:p>
    <w:p>
      <w:r>
        <w:t>Scope note: same as every sprint since Sprint 6 — see 01_Project Proposal's identical update for the mismatch/redirect method this project has used throughout; this sprint is the first where the named request needed no redirect, since Phase 1 (Sprints 0–8) was already complete.</w:t>
      </w:r>
    </w:p>
    <w:p>
      <w:r>
        <w:t>This Charter's own Business Case named expenses as a Phase 2–4 capability where structured approval workflows (purchase, payment, leave, budget, expense, contract) strengthen internal controls once built. Sprint 9 built exactly the approval-workflow half of that claim for expenses specifically: submit → manager approval → finance approval → payment, posted to the ledger, with every step captured in the audit trail. See mbms/README.md, “Sprint 9”.</w:t>
      </w:r>
    </w:p>
    <w:p>
      <w:r>
        <w:t>This is a proof-of-concept validation of that Business Case claim, not a formal ROI or budget reassessment of Phase 2 — those remain open per this Charter's own approval gates.</w:t>
      </w:r>
    </w:p>
    <w:p>
      <w:pPr>
        <w:pStyle w:val="Heading1"/>
      </w:pPr>
      <w:r>
        <w:t>27. Implementation Status Update 15 (18 August 2026) — Sprint 10: Full Accounting</w:t>
      </w:r>
    </w:p>
    <w:p>
      <w:r>
        <w:t>Scope note: same discovery as 01_Project Proposal's identical update — this sprint's request matches Multi_Holdings_Limited_Software_Development_Procedures.docx's own Sprint 10 (“Accounting”), the table every sprint since Sprint 1 has actually matched. See mbms/README.md, “Sprint 10.”</w:t>
      </w:r>
    </w:p>
    <w:p>
      <w:r>
        <w:t>This Charter's Business Case named “finance, accounting, approvals and financial reports” among the Finance Manager's core responsibilities. Sprint 10 built the financial-reports half of that directly: Income Statement, Balance Sheet, and a consolidated group view, plus recurring/adjusting entries (FR-ACC-07) closing a gap open since Accounting was first delivered.</w:t>
      </w:r>
    </w:p>
    <w:p>
      <w:r>
        <w:t>A proof-of-concept validation of that Business Case claim, not a formal ROI or budget reassessment of the financial-statements/consolidated-accounting Phase 3 scope this pulls forward from.</w:t>
      </w:r>
    </w:p>
    <w:p>
      <w:pPr>
        <w:pStyle w:val="Heading1"/>
      </w:pPr>
      <w:r>
        <w:t>28. Implementation Status Update 16 (18 August 2026) — Sprint 11: Asset Management</w:t>
      </w:r>
    </w:p>
    <w:p>
      <w:r>
        <w:t>Scope note: same discovery pattern as 01_Project Proposal's identical update — matches Multi_Holdings_Limited_Software_Development_Procedures.docx's own Sprint 11.</w:t>
      </w:r>
    </w:p>
    <w:p>
      <w:r>
        <w:t>This Charter's Business Case named “fewer stock and asset losses through better tracking” as an ROI driver. Sprint 11 built exactly that: a central asset register with custodian/location tracking, replacing the informal, uncentralized purchasing this Charter's own problem statement describes.</w:t>
      </w:r>
    </w:p>
    <w:p>
      <w:r>
        <w:t>A proof-of-concept validation, not a formal ROI reassessment.</w:t>
      </w:r>
    </w:p>
    <w:p>
      <w:pPr>
        <w:pStyle w:val="Heading1"/>
      </w:pPr>
      <w:r>
        <w:t>29. Implementation Status Update 17 (18 August 2026) — Sprint 12: Project Management</w:t>
      </w:r>
    </w:p>
    <w:p>
      <w:r>
        <w:t>Scope note: same discovery pattern as 01_Project Proposal's identical update — matches Multi_Holdings_Limited_Software_Development_Procedures.docx's own Sprint 12.</w:t>
      </w:r>
    </w:p>
    <w:p>
      <w:r>
        <w:t>This Charter names “Which projects are profitable? What has each department spent?” as a Group-level question the system should answer. Sprint 12's profitability endpoint answers exactly that — budget vs. actual cost (from linked paid expenses) vs. revenue, with a margin percent.</w:t>
      </w:r>
    </w:p>
    <w:p>
      <w:r>
        <w:t>A proof-of-concept validation, not a formal ROI reassessment.</w:t>
      </w:r>
    </w:p>
    <w:p>
      <w:pPr>
        <w:pStyle w:val="Heading1"/>
      </w:pPr>
      <w:r>
        <w:t>30. Implementation Status Update 18 (18 August 2026) — Sprint 13: Reports</w:t>
      </w:r>
    </w:p>
    <w:p>
      <w:r>
        <w:t>Scope note: same discovery pattern as 01_Project Proposal's identical update — matches Multi_Holdings_Limited_Software_Development_Procedures.docx's own Sprint 13, and is Phase 1 scope (04_SRS Section 8), not a pull-forward.</w:t>
      </w:r>
    </w:p>
    <w:p>
      <w:r>
        <w:t>This Charter's Business Case named “reduced manual reconciliation effort” and “faster financial close” as ROI drivers. Sprint 13's exportable reports (CSV/PDF) are a direct step toward that — data that previously required manually collating a screen's list can now be exported in one action.</w:t>
      </w:r>
    </w:p>
    <w:p>
      <w:r>
        <w:t>A proof-of-concept validation, not a formal ROI reassessment.</w:t>
      </w:r>
    </w:p>
    <w:p>
      <w:pPr>
        <w:pStyle w:val="Heading1"/>
      </w:pPr>
      <w:r>
        <w:t>31. Implementation Status Update 19 (18 August 2026) — Sprint 14: Dashboard, Notifications and Audit Trail</w:t>
      </w:r>
    </w:p>
    <w:p>
      <w:r>
        <w:t>Scope note: same discovery pattern as 01_Project Proposal's identical update — matches Multi_Holdings_Limited_Software_Development_Procedures.docx's own Sprint 14, the last row in its 14-sprint order.</w:t>
      </w:r>
    </w:p>
    <w:p>
      <w:r>
        <w:t>This Charter's Business Case named workflow visibility and notification as Group-level needs. Sprint 14 delivered the in-app half of that (a notification feed wired into two real approval workflows) — real email/push delivery remains deferred, no external infrastructure exists for it.</w:t>
      </w:r>
    </w:p>
    <w:p>
      <w:r>
        <w:t>A proof-of-concept validation, not a formal ROI reassessment.</w:t>
      </w:r>
    </w:p>
    <w:p>
      <w:pPr>
        <w:pStyle w:val="Heading1"/>
      </w:pPr>
      <w:r>
        <w:t>32. Implementation Status Update 20 (19 August 2026) — Company and Holdings Management Deepening</w:t>
      </w:r>
    </w:p>
    <w:p>
      <w:r>
        <w:t>Scope note: same discovery pattern as 01_Project Proposal's identical update — a direct feature-list request against morise.docx, Section 2, not a numbered sprint.</w:t>
      </w:r>
    </w:p>
    <w:p>
      <w:r>
        <w:t>This Charter's Business Case named Group-level consolidation and inter-company financial control as core needs of the holding-company structure. This update delivered both: a real double-entry inter-company transaction mechanism and a consolidated comparison report, plus company policies and cross-company resource transfer.</w:t>
      </w:r>
    </w:p>
    <w:p>
      <w:r>
        <w:t>A proof-of-concept validation, not a formal ROI reassessment.</w:t>
      </w:r>
    </w:p>
    <w:p>
      <w:pPr>
        <w:pStyle w:val="Heading1"/>
      </w:pPr>
      <w:r>
        <w:t>33. Implementation Status Update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34. Implementation Status Update 22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35. 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36. Implementation Status Update 24 (19 August 2026) — Customer Storefront, Responsiveness Pass and Landing Page</w:t>
      </w:r>
    </w:p>
    <w:p>
      <w:r>
        <w:t>Scope note: this entry bundles three related requests handled back-to-back in one continuous session, the same class of single-entry bundling this document set already uses when one pass covers several closely related asks — build the actual customer-facing storefront screenshots/Customer/'s ten mockups had always implied but never had running code behind (explicitly confirmed as new scope, not something already there to start); make that storefront responsive once it shipped without a mobile pass; and develop a public landing page with a first-visit disclaimer for a visitor who hasn't signed in yet.</w:t>
      </w:r>
    </w:p>
    <w:p>
      <w:r>
        <w:t>Built: a real Sales/Invoicing/Payments module (Order, OrderItem, Invoice, Payment, PaymentAllocation — an order posts a real balanced journal entry at creation and is rejected if it would exceed the customer's credit limit; cancellation reverses the entry rather than deleting anything) and a new Support Ticketing module (SupportTicket, TicketMessage), both behind a second, structurally separate authentication stack (a customer signs in with an account number or email, never a staff User record). A second web application, mbms/storefront/, implements all ten Customer mockup screens plus two with no source mockup (a Landing page and a first-visit disclaimer modal) against this real backend, not a mockup. Minimal staff-side screens (Orders fulfillment, Support Ticket reply) were added to the existing Admin app so a customer's order or ticket does not dead-end. The storefront was then made responsive (a fluid header/nav and scrollable tables with no fixed-width overflow from 320px to 1440px) and given the public landing page and disclaimer at "/", replacing the previous hard redirect-to-login for a signed-out visitor. Migration: sprint16_customer_storefront. Four new permissions (sales.order.manage/viewAll, support.ticket.manage/viewAll); no existing permission was changed. Business case impact: self-service ordering, invoicing and support directly reduces staff time spent on manual order-taking and status calls — the capability this document's own business case section anticipated, now real.</w:t>
      </w:r>
    </w:p>
    <w:p>
      <w:r>
        <w:t>Three real defects were found and fixed across these passes, not before them: a seed-script idempotency bug that doubled a demo customer's outstanding balance on a second seed run (order/invoice numbers were derived from a live row count rather than a fixed literal, unlike every other seed in this project); a frontend permission-gate mismatch where the new Support Tickets admin screen's hasRole() check didn't include a role the backend had actually granted the permission to, hiding a working reply form; and a CSS specificity leak where a rule added to fix one header's responsive wrap silently reordered an unrelated header on the new Landing page, caught only by inspecting a screenshot, not by any automated check.</w:t>
      </w:r>
    </w:p>
    <w:p>
      <w:r>
        <w:t>See mbms/README.md, "Sprint 16: Customer Storefront", "Storefront responsiveness pass" and "Landing page and disclaimer added", for the full detail and verification method.</w:t>
      </w:r>
    </w:p>
    <w:p>
      <w:pPr>
        <w:pStyle w:val="Heading1"/>
      </w:pPr>
      <w:r>
        <w:t>37. 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38. 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No change to the business case, budget, or authorization. Key Deliverables: the admin UI now presents its screens under the four categories above; the placeholder screens are tracked as outstanding Phase 2+ deliverables, not as delivered function.</w:t>
      </w:r>
    </w:p>
    <w:p>
      <w:pPr>
        <w:pStyle w:val="Heading1"/>
      </w:pPr>
      <w:r>
        <w:t>39. 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Governance clarification: the authority to grant and revoke system access is delegated from the Managing Director to Branch Managers (operational permissions, own branch) and HR Managers (HR permissions, own scope), with Super Administrator retained as the platform break-glass path. No change to budget, benefits or authorization of the project itself.</w:t>
      </w:r>
    </w:p>
    <w:p>
      <w:pPr>
        <w:pStyle w:val="Heading1"/>
      </w:pPr>
      <w:r>
        <w:t>40. 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Benefit note: hiding unpermitted operations lowers training and support effort (each user sees a smaller, role-appropriate system) and reduces the chance of an attempted action that would only be refused. No change to cost or authorization.</w:t>
      </w:r>
    </w:p>
    <w:p>
      <w:pPr>
        <w:pStyle w:val="Heading1"/>
      </w:pPr>
      <w:r>
        <w:t>41. 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Benefit: a storefront available in Uganda's languages widens the set of customers who can self-serve without help, reducing support load. No change to cost, timeline or authorization.</w:t>
      </w:r>
    </w:p>
    <w:p>
      <w:pPr>
        <w:pStyle w:val="Heading1"/>
      </w:pPr>
      <w:r>
        <w:t>42. 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Benefit: a storefront usable in the major languages of every continent supports the Group's cross-border customers and any future expansion, at no additional infrastructure cost — the remaining translations are a content task.</w:t>
      </w:r>
    </w:p>
    <w:p>
      <w:pPr>
        <w:pStyle w:val="Heading1"/>
      </w:pPr>
      <w:r>
        <w:t>43. 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Benefit: full-screen localisation (not partial) is what actually lets a non-English-speaking customer operate the portal unassisted, extending the reduction in support load the earlier passes began.</w:t>
      </w:r>
    </w:p>
    <w:p>
      <w:pPr>
        <w:pStyle w:val="Heading1"/>
      </w:pPr>
      <w:r>
        <w:t>44. 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Governance benefit: customer-authored content is held in one language (English) for consistent staff handling, reporting and audit, without asking the customer to work in English and without discarding what they actually wrote.</w:t>
      </w:r>
    </w:p>
    <w:p>
      <w:pPr>
        <w:pStyle w:val="Heading1"/>
      </w:pPr>
      <w:r>
        <w:t>45. 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Benefit: showing money in the customer's own currency and number format removes a real friction point for cross-border customers, with no change to how amounts are recorded or reconciled.</w:t>
      </w:r>
    </w:p>
    <w:p>
      <w:pPr>
        <w:pStyle w:val="Heading1"/>
      </w:pPr>
      <w:r>
        <w:t>46. 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Governance: the Managing Director holds full subsidiary and user administration (create / update / delete / activate); deletion is guarded so a populated subsidiary must be deactivated rather than destroyed, and the holding company can never be removed. The new Clearing &amp; Forwarding subsidiary is wholly-owned (100%).</w:t>
      </w:r>
    </w:p>
    <w:p>
      <w:pPr>
        <w:pStyle w:val="Heading1"/>
      </w:pPr>
      <w:r>
        <w:t>47. 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Governance: Morise Warehouse Management Ltd is a wholly-owned (100%) subsidiary, established and administered by the Managing Director through the subsidiary-lifecycle controls.</w:t>
      </w:r>
    </w:p>
    <w:p>
      <w:pPr>
        <w:pStyle w:val="Heading1"/>
      </w:pPr>
      <w:r>
        <w:t>48. 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Business case: the Inventory screen gives branch and finance staff a single stock-on-hand and stock-value view with low-stock flags, and an auditable record of every receipt, issue and count — delivered by reusing the existing product and audit capabilities rather than a separate system.</w:t>
      </w:r>
    </w:p>
    <w:p>
      <w:pPr>
        <w:pStyle w:val="Heading1"/>
      </w:pPr>
      <w:r>
        <w:t>49. 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Business case: promotions and site content become staff-managed data rather than code changes — a sales user can issue a time-boxed discount code with a redemption cap, and site content (About, Terms, Delivery) is edited and published without a release.</w:t>
      </w:r>
    </w:p>
    <w:p>
      <w:pPr>
        <w:pStyle w:val="Heading1"/>
      </w:pPr>
      <w:r>
        <w:t>50. 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Governance: consistent with the Managing Director already holding full company, user and subsidiary administration, the role now also fully controls storefront promotions and site content, not merely views them.</w:t>
      </w:r>
    </w:p>
    <w:p>
      <w:pPr>
        <w:pStyle w:val="Heading1"/>
      </w:pPr>
      <w:r>
        <w:t>51. 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Business case: promotions and site content reach the customer in their own language with no extra authoring effort — staff write once in English and the storefront localises on read, the same model already in place for the catalogue.</w:t>
      </w:r>
    </w:p>
    <w:p>
      <w:pPr>
        <w:pStyle w:val="Heading1"/>
      </w:pPr>
      <w:r>
        <w:t>52. 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Business case: HR managers get headcount, absence and recruitment-pipeline figures in one view without running reports, and the department structure — previously only a data entity — is now maintainable from a screen.</w:t>
      </w:r>
    </w:p>
    <w:p>
      <w:pPr>
        <w:pStyle w:val="Heading1"/>
      </w:pPr>
      <w:r>
        <w:t>53. 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Business case: payroll moves from a spreadsheet to a reviewed, approved, ledger-posted process with statutory calculations built in; rostering gives supervisors coverage visibility and clash detection before a schedule is published.</w:t>
      </w:r>
    </w:p>
    <w:p>
      <w:pPr>
        <w:pStyle w:val="Heading1"/>
      </w:pPr>
      <w:r>
        <w:t>54. 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Business case: self-service removes routine HR requests (“what's my leave balance”, “where's my payslip”, “put in a leave request for me”) from the HR team's queue, and gives every employee a single place for their own HR information.</w:t>
      </w:r>
    </w:p>
    <w:p>
      <w:pPr>
        <w:pStyle w:val="Heading1"/>
      </w:pPr>
      <w:r>
        <w:t>55. 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No business-case change — the self-service capability was delivered in the previous change; this makes it visible to every demo persona.</w:t>
      </w:r>
    </w:p>
    <w:p>
      <w:pPr>
        <w:pStyle w:val="Heading1"/>
      </w:pPr>
      <w:r>
        <w:t>56. 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Business case: a single read-only view of the group's financial position and the finance work in progress (payables, receivables, expense approvals, period close), without opening each sub-screen or running a report.</w:t>
      </w:r>
    </w:p>
    <w:p>
      <w:pPr>
        <w:pStyle w:val="Heading1"/>
      </w:pPr>
      <w:r>
        <w:t>57. 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Business case: a prospective customer can open an account and start browsing without waiting for staff to set one up, and an existing customer can recover access without contacting support; staff still review and set the real credit terms in the CRM.</w:t>
      </w:r>
    </w:p>
    <w:p>
      <w:pPr>
        <w:pStyle w:val="Heading1"/>
      </w:pPr>
      <w:r>
        <w:t>58. 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Business case — one customer account now buys across every Morise subsidiary in a single session, while each subsidiary still invoices the customer and posts to its own books; wider cross-sell with no extra logins.</w:t>
      </w:r>
    </w:p>
    <w:p>
      <w:pPr>
        <w:pStyle w:val="Heading1"/>
      </w:pPr>
      <w:r>
        <w:t>59. 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Business case — the group storefront now covers the full service range of the holding: agri-inputs and fuel, road freight, customs clearance and freight forwarding, and third-party warehousing — cross-sold from one account.</w:t>
      </w:r>
    </w:p>
    <w:p>
      <w:pPr>
        <w:pStyle w:val="Heading1"/>
      </w:pPr>
      <w:r>
        <w:t>60. 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Business case — a customer transacts entirely in their own language while the group's records stay in one canonical language (English, 0-9) for finance and audit.</w:t>
      </w:r>
    </w:p>
    <w:p>
      <w:pPr>
        <w:pStyle w:val="Heading1"/>
      </w:pPr>
      <w:r>
        <w:t>61. 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Business case — the API is now self-documenting: an integrating partner or auditor can read and exercise the whole Phase 1 surface at /api/v1/docs without a hand-written contract, lowering integration and onboarding cost.</w:t>
      </w:r>
    </w:p>
    <w:p>
      <w:pPr>
        <w:pStyle w:val="Heading1"/>
      </w:pPr>
      <w:r>
        <w:t>62. 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Business case — the group now has a credible public face: a prospective or existing customer can see every operating company, its branches and the shared catalogue before signing in, then convert into the same single account.</w:t>
      </w:r>
    </w:p>
    <w:p>
      <w:pPr>
        <w:pStyle w:val="Heading1"/>
      </w:pPr>
      <w:r>
        <w:t>63. 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Business case — the public corporate site now shares one visual identity with the customer storefront, so a visitor moves from the landing pages into the shop without a jarring change of look. No scope or cost change.</w:t>
      </w:r>
    </w:p>
    <w:p>
      <w:pPr>
        <w:pStyle w:val="Heading1"/>
      </w:pPr>
      <w:r>
        <w:t>64. 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Business case — the About / Terms / Delivery pages now share the corporate site’s look, so a visitor never drops out of the house style when following a footer link. No scope or cost change.</w:t>
      </w:r>
    </w:p>
    <w:p>
      <w:pPr>
        <w:pStyle w:val="Heading1"/>
      </w:pPr>
      <w:r>
        <w:t>65. 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Business case — the storefront and corporate site now carry the group’s social channels, kept current by an administrator without a developer, extending the reach of every public page.</w:t>
      </w:r>
    </w:p>
    <w:p>
      <w:pPr>
        <w:pStyle w:val="Heading1"/>
      </w:pPr>
      <w:r>
        <w:t>66. 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Business case — the landing page can now collect interested contacts and answer common questions in the visitor’s own language, both maintained by an administrator without a developer.</w:t>
      </w:r>
    </w:p>
    <w:p>
      <w:pPr>
        <w:pStyle w:val="Heading1"/>
      </w:pPr>
      <w:r>
        <w:t>67. 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Business case — a customer now transacts entirely in their own language across the whole storefront, order history and payments included, while the group’s records stay uniformly in English.</w:t>
      </w:r>
    </w:p>
    <w:p>
      <w:pPr>
        <w:pStyle w:val="Heading1"/>
      </w:pPr>
      <w:r>
        <w:t>68. 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Business case — a customer now sees every figure and label in their own language across the whole storefront, downloadable statement and invoice included, while the group’s records stay uniformly in English.</w:t>
      </w:r>
    </w:p>
    <w:p>
      <w:pPr>
        <w:pStyle w:val="Heading1"/>
      </w:pPr>
      <w:r>
        <w:t>69. 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Business case — a collateral-management-agent line of business extends the group into commodity and warehouse-receipt finance servicing for banks; the platform already supplies the identity, multi-site scope, GL, audit, workforce and localisation foundations it reuses.</w:t>
      </w:r>
    </w:p>
    <w:p>
      <w:pPr>
        <w:pStyle w:val="Heading1"/>
      </w:pPr>
      <w:r>
        <w:t>70. 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Business case — the demonstration disclaimer is now unmissable (shown first, held for 10 seconds) and its wording is maintained by admin staff without a developer, strengthening the honesty-about-what-this-is posture for a first-time visitor.</w:t>
      </w:r>
    </w:p>
    <w:p>
      <w:pPr>
        <w:pStyle w:val="Heading1"/>
      </w:pPr>
      <w:r>
        <w:t>71. 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Business case — a first-time visitor now meets the demonstration disclaimer and the corporate landing page in their own language, removing an English-only barrier at the very first screen.</w:t>
      </w:r>
    </w:p>
    <w:p>
      <w:pPr>
        <w:pStyle w:val="Heading1"/>
      </w:pPr>
      <w:r>
        <w:t>72. 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Business case — collateral-management services (CMA setup, field warehousing control, inspection, valuation, release authorisation, warehouse-receipt issuance, accreditation) are now orderable from the one group storefront, invoiced in the subsidiary’s own books.</w:t>
      </w:r>
    </w:p>
    <w:p>
      <w:pPr>
        <w:pStyle w:val="Heading1"/>
      </w:pPr>
      <w:r>
        <w:t>73. 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Business case — the Managing Director can now run every admin function directly (not only view), matching the executive authority the group structure implies and the delegated-administration model's own “Managing Director: all”.</w:t>
      </w:r>
    </w:p>
    <w:p>
      <w:pPr>
        <w:pStyle w:val="Heading1"/>
      </w:pPr>
      <w:r>
        <w:t>74. 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Business case — the proof-of-concept now presents a single consistent Morise identity to staff and customers instead of a placeholder letter, at no functional cost.</w:t>
      </w:r>
    </w:p>
    <w:p>
      <w:pPr>
        <w:pStyle w:val="Heading1"/>
      </w:pPr>
      <w:r>
        <w:t>75. 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Business case — the proof-of-concept now has a complete, consistent banner set (group, per-subsidiary, social, email, storefront, announcement) built from the brand system, ready for demos, the mini-site and share links at no functional cost.</w:t>
      </w:r>
    </w:p>
    <w:p>
      <w:pPr>
        <w:pStyle w:val="Heading1"/>
      </w:pPr>
      <w:r>
        <w:t>76. 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Business case — the storefront now presents the Morise and per-subsidiary banners to customers on the landing page, the company pages, the subsidiary directory and the shop, at no functional cost.</w:t>
      </w:r>
    </w:p>
    <w:p>
      <w:pPr>
        <w:pStyle w:val="Heading1"/>
      </w:pPr>
      <w:r>
        <w:t>77. 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Business case — Morise Logistics Ltd's delivery line of business is specified (doc 22) and its core workflow is already implemented server-side (create / assign / transit / proof / exceptions / metrics, from storefront orders and invoices). The customer- and revenue-facing pieces — window selection, tracking screen, fee engine — and activation (permissions, UI) remain outstanding.</w:t>
      </w:r>
    </w:p>
    <w:p>
      <w:pPr>
        <w:pStyle w:val="Heading1"/>
      </w:pPr>
      <w:r>
        <w:t>78. 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Business case — this closes the loop between delivery and billing: the customer's acknowledgement of good receipt is the trigger for the definitive branded invoice — proof of supply for both sides and a cleaner basis for collection and dispute handling. Not built.</w:t>
      </w:r>
    </w:p>
    <w:p>
      <w:pPr>
        <w:pStyle w:val="Heading1"/>
      </w:pPr>
      <w:r>
        <w:t>79. 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Business case — this closes the operational gap between “order ready” and “order in a persona's hands”: operations staff explicitly pick who delivers each order, with a manual override, and see each persona's current load. Endpoints built; unusable pending activation.</w:t>
      </w:r>
    </w:p>
    <w:p>
      <w:pPr>
        <w:pStyle w:val="Heading1"/>
      </w:pPr>
      <w:r>
        <w:t>80. 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Business case — the delivery-assignment capability is now usable by operations staff (a real code change, not only documentation): an authorised dispatcher can assign a Morise Logistics Ltd delivery persona to a customer's order. Full value follows once the Admin dispatch screen exists.</w:t>
      </w:r>
    </w:p>
    <w:p>
      <w:pPr>
        <w:pStyle w:val="Heading1"/>
      </w:pPr>
      <w:r>
        <w:t>81. 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Business case — the storefront now speaks in the group's own terms (services, invoice) rather than a generic shop metaphor. Presentation only; no change to how orders or invoices work.</w:t>
      </w:r>
    </w:p>
    <w:p>
      <w:pPr>
        <w:pStyle w:val="Heading1"/>
      </w:pPr>
      <w:r>
        <w:t>82. 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Business case — payroll is a group-wide obligation; the spec sets out one system for every subsidiary with department, company and consolidated reporting for management. The transactional core is live; the richer earnings structure and the reporting suite are the value still to build.</w:t>
      </w:r>
    </w:p>
    <w:p>
      <w:pPr>
        <w:pStyle w:val="Heading1"/>
      </w:pPr>
      <w:r>
        <w:t>83. 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Business case — payroll now models earnings the way HR thinks about them (basic + allowances + variable overtime / bonuses), so the payslip and the group figures reflect real pay composition, not a single number.</w:t>
      </w:r>
    </w:p>
    <w:p>
      <w:pPr>
        <w:pStyle w:val="Heading1"/>
      </w:pPr>
      <w:r>
        <w:t>84. 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Business case — a single financial backbone for the group: every subsidiary keeps its own ledger, AR and AP, and the group consolidates. Already the deepest built area of MBMS; this entry inventories it against the requested feature list.</w:t>
      </w:r>
    </w:p>
    <w:p>
      <w:pPr>
        <w:pStyle w:val="Heading1"/>
      </w:pPr>
      <w:r>
        <w:t>85. 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Business case — treasury control across the group: one place to see and reconcile every bank and cash account, move money between them, run petty cash, issue vouchers and forecast the cash runway. The ledger side (accounts + reconciliation + position) is live; the treasury conveniences are the value to build.</w:t>
      </w:r>
    </w:p>
    <w:p>
      <w:pPr>
        <w:pStyle w:val="Heading1"/>
      </w:pPr>
      <w:r>
        <w:t>86. 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Business case — planning and control across the group: budgets by company, department, project and consolidated, an approval and revision cycle, and alerting when a line is overspent. The per-account per-period budget and budget-vs-actual are live; the dimensions, workflow and alerting are the value to build.</w:t>
      </w:r>
    </w:p>
    <w:p>
      <w:pPr>
        <w:pStyle w:val="Heading1"/>
      </w:pPr>
      <w:r>
        <w:t>87. 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Business case — the front office end to end: acquire and profile customers, quote, sell, deliver, invoice and collect, and manage the relationship (leads to feedback). The customer record and the order-to-cash core are live; quoting, returns, incentives and CRM are the value still to build.</w:t>
      </w:r>
    </w:p>
    <w:p>
      <w:pPr>
        <w:pStyle w:val="Heading1"/>
      </w:pPr>
      <w:r>
        <w:t>88. Implementation Status Update 76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Business case — controlled spend: a request routed through department and management approval, competitive quoting, a purchase order, receipt against a GRN, then the invoice and payment. The supplier master and AP tail are live; the request-to-order front of the process is the value to build.</w:t>
      </w:r>
    </w:p>
    <w:p>
      <w:pPr>
        <w:pStyle w:val="Heading1"/>
      </w:pPr>
      <w:r>
        <w:t>89. Implementation Status Update 77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Business case — one supplier master for the group: onboard, categorise, hold tax and bank details securely, track spend and statements, and manage risk via blacklist. Evaluation and performance scoring are the value still to build.</w:t>
      </w:r>
    </w:p>
    <w:p>
      <w:pPr>
        <w:pStyle w:val="Heading1"/>
      </w:pPr>
      <w:r>
        <w:t>90. Implementation Status Update 78 (1 September 2026) — Supplier Management: Contacts, Suspension &amp; Evaluation</w:t>
      </w:r>
    </w:p>
    <w:p>
      <w:pPr>
        <w:pStyle w:val="BodyText"/>
      </w:pPr>
      <w:r>
        <w:t>An administrator asked to implement the Supplier Management backlog recorded in the previous update — specifically a multi-contact list per supplier, a time-bound suspension distinct from blacklist, and supplier evaluation and performance. This has now shipped as code.</w:t>
      </w:r>
    </w:p>
    <w:p>
      <w:pPr>
        <w:pStyle w:val="BodyText"/>
      </w:pPr>
      <w:r>
        <w:t>Schema and migration 20260901130000_supplier_management add two tables and extend the supplier record. supplier_contacts holds several named people per supplier (name, title, email, phone, an is_primary flag and a free-text note); the service keeps at most one primary contact, demoting any previous primary when a new one is set. supplier_evaluations is a periodic scorecard: a period label, five criterion scores from 1 to 5 (on-time delivery, goods / service quality, price competitiveness, communication / responsiveness and documentation / terms compliance), an overall score that is their average, optional comments and the evaluating user. The SupplierStatus enum gains a suspended value, and suppliers gains suspension_reason and suspended_until columns.</w:t>
      </w:r>
    </w:p>
    <w:p>
      <w:pPr>
        <w:pStyle w:val="BodyText"/>
      </w:pPr>
      <w:r>
        <w:t>New endpoints sit under the existing supplier.manage / supplier.viewAll permissions (supplier.view.sensitive still governs unmasked bank / tax fields — no new permission was added). GET / POST /api/v1/suppliers/:id/contacts and PATCH / DELETE /api/v1/suppliers/:id/contacts/:contactId manage the contact list. POST /api/v1/suppliers/:id/suspend takes a reason and an optional auto-lift date and sets the status to suspended; POST /api/v1/suppliers/:id/unsuspend clears it. It refuses to suspend a blacklisted supplier (409) - un-blacklist first - and a suspension whose suspended_until date has passed lifts itself automatically the next time the record is read. GET / POST /api/v1/suppliers/:id/evaluations and DELETE /api/v1/suppliers/:id/evaluations/:evaluationId manage scorecards. GET /api/v1/suppliers/:id/performance returns a derived summary: evaluation count, overall average, a rating band (Excellent / Good / Fair / Poor), a trend against the previous scorecard (improving / declining / flat), per-criterion averages, and accounts-payable figures for the supplier (invoice count, paid and overdue counts, total invoiced, total paid and outstanding). There is no performance table - it is computed on request from the evaluations plus the supplier's AP invoice history.</w:t>
      </w:r>
    </w:p>
    <w:p>
      <w:pPr>
        <w:pStyle w:val="BodyText"/>
      </w:pPr>
      <w:r>
        <w:t>Every mutation is audited (supplier.contact.created / updated / deleted, supplier.evaluation.created / deleted, and supplier.record.updated for suspend / unsuspend), with bank and tax values kept out of event payloads as before. All routes are company-scoped exactly like the existing GET /suppliers/:id. The admin Suppliers screen now opens a supplier detail dialog from the supplier name with Contacts, Evaluations and Performance tabs and a Suspend / Lift-suspension control; add-contact, new-evaluation (1-5 sliders with a live overall) and suspend (reason + auto-lift date) dialogs are included, and the list shows a suspended badge with the lift date. Seed data adds three contacts and two quarterly scorecards (Q1 and Q2 2026) for AgroChem Uganda Ltd so the screen and the performance summary are populated on a fresh database.</w:t>
      </w:r>
    </w:p>
    <w:p>
      <w:pPr>
        <w:pStyle w:val="BodyText"/>
      </w:pPr>
      <w:r>
        <w:t>Still on the backlog: supplier contracts and supplier documents as uploaded, versioned files — the same deferred object-storage gap this project carries for company logos and employee documents. Verified end to end: seeded contacts and evaluations read back; adding a primary contact demotes the previous one; suspend then unsuspend; a new scorecard moves the performance average and trend; suspend on a blacklisted supplier returns 409; a caller without supplier.manage gets 403 on every mutation. nest build and the admin vite build are clean.</w:t>
      </w:r>
    </w:p>
    <w:p>
      <w:pPr>
        <w:pStyle w:val="Heading2"/>
      </w:pPr>
      <w:r>
        <w:t>Impact on this document</w:t>
      </w:r>
    </w:p>
    <w:p>
      <w:pPr>
        <w:pStyle w:val="BodyText"/>
      </w:pPr>
      <w:r>
        <w:t>Business case — the supplier master now carries several contacts per supplier, a suspend-and-reinstate cycle for risk, and a quarterly scorecard feeding a performance rating (Excellent / Good / Fair / Poor) with a trend and the supplier's AP position - the risk-management and evaluation value is delivered, not just blacklist.</w:t>
      </w:r>
    </w:p>
    <w:p>
      <w:pPr>
        <w:pStyle w:val="Heading1"/>
      </w:pPr>
      <w:r>
        <w:t>91. Implementation Status Update 79 (1 September 2026) — Inventory Management: Warehouses, Transfers, Batch / Serial Tracking &amp; Reports</w:t>
      </w:r>
    </w:p>
    <w:p>
      <w:pPr>
        <w:pStyle w:val="BodyText"/>
      </w:pPr>
      <w:r>
        <w:t>An administrator asked to add and implement an “Inventory Management” section covering product registration, categories, codes, barcodes and units of measure; stock locations and warehouses; stock receipts, issues, transfers, adjustments, returns and counts; stock valuation; re-order / minimum / maximum stock levels; expiry-date, batch and serial-number tracking; and inventory reports (stock balance, stock movement, fast- / slow-moving, dead stock, valuation, shortage, surplus). Product registration / categories / codes / barcodes / units of measure were already built in the Product service, and a company-level Inventory section (stock-on-hand, a re-order point, receipt / issue / count adjustments and an immutable movement ledger) shipped on 28 August 2026. This pass builds the rest.</w:t>
      </w:r>
    </w:p>
    <w:p>
      <w:pPr>
        <w:pStyle w:val="BodyText"/>
      </w:pPr>
      <w:r>
        <w:t>Migration 20260901140000_inventory_management adds warehouses (one company may have several stock sites; each has a code, a name, an optional Branch link and an active flag, with exactly one marked the default), stock_locations (bins / aisles / racks within a warehouse, descriptive in this phase), stock_balances (on-hand of one product in one warehouse; the sum over a product’s rows equals Product.stockQuantity, the company roll-up the storefront and Orders still read), stock_batches (a batch number and an optional expiry date per batch-tracked product) and stock_serials (one row per serial-numbered unit, status in_stock / issued / returned / scrapped). Product gains min_stock_level, max_stock_level, track_batches and track_serials; StockMovement gains warehouse_id, counterparty_warehouse_id and batch_number; the StockMovementType enum gains adjustment, transfer_out, transfer_in and return. The MAIN-warehouse creation and the balance backfill from the existing roll-up run in prisma/seed.ts (and lazily in the service), keeping the migration DDL-only per this project’s convention.</w:t>
      </w:r>
    </w:p>
    <w:p>
      <w:pPr>
        <w:pStyle w:val="BodyText"/>
      </w:pPr>
      <w:r>
        <w:t>New endpoints sit under /api/v1/inventory, reads scoped per BR-01 like the product list and writes gated by product.manage — the same permission the existing section uses, so no new permission was added. Warehouses: GET / POST /inventory/warehouses, PATCH /inventory/warehouses/:id, GET / POST /inventory/warehouses/:id/locations, PATCH /inventory/locations/:locationId. Stock moves: POST /inventory/adjustments now takes an optional warehouseId (defaulting to MAIN) plus an optional batch number / expiry date on a receipt and an optional serial-number list on a receipt or issue; POST /inventory/transfers moves quantity between two warehouses of the same company as a paired transfer_out / transfer_in (the roll-up is unchanged); POST /inventory/returns books goods back into a warehouse. GET /inventory/balances lists a product’s per-warehouse rows; PUT /inventory/products/:id/stock-levels sets the re-order point, minimum and maximum together with the batch / serial flags (the older /reorder-point route is kept). GET /inventory/batches and GET /inventory/serials list the tracking rows.</w:t>
      </w:r>
    </w:p>
    <w:p>
      <w:pPr>
        <w:pStyle w:val="BodyText"/>
      </w:pPr>
      <w:r>
        <w:t>Eight reports are exposed at GET /inventory/reports/*: stock-balance (per product, with a per-warehouse breakdown), stock-movement (a date-ranged ledger), movement-analysis (fast-moving, slow-moving and dead-stock buckets from issue volume over a window), valuation (quantity × unit price, per warehouse and total), shortage (on-hand below the minimum, or below the re-order point where no minimum is set), surplus (on-hand above the maximum) and expiring (batches already expired or within N days of expiry). Every mutation is audited (inventory.warehouse.*, inventory.location.*, inventory.stock.adjusted / transferred / returned, inventory.stock_levels.updated). The admin Inventory screen gains Warehouses and Reports tabs, a warehouse filter and min / max columns on the stock list, Transfer / Return / Levels actions per row, a warehouse selector plus batch and serial fields on the adjust dialog, and a date range on the movement ledger. Seed data adds a MAIN warehouse for every company that holds stock, a second Agro warehouse (Kira Dispatch Store) with two locations, minimum / maximum levels on five products, a batch-tracked herbicide with two batches (one near expiry), a serial-tracked pallet with three units, and a demo MAIN → Kira transfer.</w:t>
      </w:r>
    </w:p>
    <w:p>
      <w:pPr>
        <w:pStyle w:val="BodyText"/>
      </w:pPr>
      <w:r>
        <w:t>Every requested feature now maps to something running: product registration / categories / codes / barcodes / units of measure (Product service), stock locations and warehouses, receipts / issues / transfers / adjustments / returns / counts, stock valuation, re-order / minimum / maximum levels, expiry-date / batch / serial tracking, and all eight named reports. Verified end to end: warehouses created per company; a transfer leaves the roll-up unchanged while both warehouse balances move; over-issue and over-transfer return 409; the shortage / surplus / expiring reports pick up the seeded thresholds and batches; a serial receipt then issue flips the unit status; a caller without product.manage gets 403 on every write. nest build, admin vite build and the OpenAPI regeneration are clean.</w:t>
      </w:r>
    </w:p>
    <w:p>
      <w:pPr>
        <w:pStyle w:val="Heading2"/>
      </w:pPr>
      <w:r>
        <w:t>Impact on this document</w:t>
      </w:r>
    </w:p>
    <w:p>
      <w:pPr>
        <w:pStyle w:val="BodyText"/>
      </w:pPr>
      <w:r>
        <w:t>Business case — the group now runs multi-warehouse stock: per-site balances with a company roll-up, inter-warehouse transfers, returns, batch / expiry and serial tracking, minimum / maximum levels, and shortage / surplus / dead-stock / valuation reporting informing purchasing and write-offs.</w:t>
      </w:r>
    </w:p>
    <w:p>
      <w:pPr>
        <w:pStyle w:val="Heading1"/>
      </w:pPr>
      <w:r>
        <w:t>92. Implementation Status Update 80 (1 September 2026) — Warehouse Management: Staff, Receiving, Picking / Packing / Dispatch &amp; Count Reconciliation</w:t>
      </w:r>
    </w:p>
    <w:p>
      <w:pPr>
        <w:pStyle w:val="BodyText"/>
      </w:pPr>
      <w:r>
        <w:t>An administrator asked to add and implement a “Warehouse Management” section covering multiple warehouses, warehouse locations, bin management, receiving, picking, packing, dispatch, stock transfers, warehouse staff management, warehouse stock counts, barcode scanning and inventory reconciliation. Multiple warehouses, warehouse locations and stock transfers were built earlier the same day in the Inventory Management pass; this pass adds the warehouse operations layer on top.</w:t>
      </w:r>
    </w:p>
    <w:p>
      <w:pPr>
        <w:pStyle w:val="BodyText"/>
      </w:pPr>
      <w:r>
        <w:t>Migration 20260901150000_warehouse_management adds warehouse_staff (an Employee assigned to a warehouse with a role of manager / supervisor / receiver / picker / packer / dispatcher), goods_receipts + goods_receipt_lines (an inbound receiving document: draft → received → cancelled; each line names a product, a quantity and an optional batch / expiry / bin), pick_lists + pick_list_lines (a fulfilment job: pending → picking → picked → packed → dispatched, optionally tied to a sales Order whose items become the lines) and stock_counts + stock_count_lines (a physical count session: open → counting → reconciled, each line snapshotting the system quantity, recording the counted quantity and the variance). Stock locations gain a functional kind (receiving / storage / picking / packing / dispatch / quarantine), so a bin has a role in the flow. All of it reuses product.manage / product.viewAll — no new permission — and the seeded Warehouse Manager role now holds product.manage so that persona can run the floor.</w:t>
      </w:r>
    </w:p>
    <w:p>
      <w:pPr>
        <w:pStyle w:val="BodyText"/>
      </w:pPr>
      <w:r>
        <w:t>New endpoints under /api/v1/inventory (reads scoped per BR-01, writes gated by product.manage): GET / POST /inventory/warehouses/:id/staff and PATCH / DELETE /inventory/warehouse-staff/:id manage staff. GET / POST /inventory/goods-receipts, GET /inventory/goods-receipts/:id, POST .../:id/receive (books a receipt stock movement per line, updating the warehouse balance, the company roll-up and any batch), POST .../:id/cancel. GET / POST /inventory/pick-lists, GET /inventory/pick-lists/:id, POST .../:id/assign, POST .../:id/pick (issues the picked quantity from the warehouse, with a 409 if stock is short), POST .../:id/pack, POST .../:id/dispatch (which also nudges a linked order to packed / out_for_delivery), POST .../:id/cancel (returning already-picked stock). GET / POST /inventory/stock-counts, GET /inventory/stock-counts/:id, POST .../:id/lines, PATCH .../:id/lines/:lineId (record a counted quantity), POST .../:id/reconcile (posts a count adjustment for every line whose count differs from the system figure and writes the variance), POST .../:id/cancel. GET /inventory/lookup?barcode= returns the matching product and its per-warehouse balances, and a goods-receipt / pick-list / stock-count line may be entered by barcode instead of product id.</w:t>
      </w:r>
    </w:p>
    <w:p>
      <w:pPr>
        <w:pStyle w:val="BodyText"/>
      </w:pPr>
      <w:r>
        <w:t>Every mutation is audited (inventory.warehouse_staff.*, inventory.goods_receipt.created / received / cancelled, inventory.pick_list.created / assigned / picked / packed / dispatched / cancelled, inventory.stock_count.created / reconciled / cancelled) and every stock effect goes through the same per-warehouse balance / roll-up / movement path the Inventory Management pass built, so on-hand stays explainable. The admin Inventory screen gains a Warehouse ops tab with Staff, Goods receipts, Pick lists and Stock counts sub-views, and the Warehouses tab’s location panel now shows and sets a bin’s kind. Seed data adds a Warehouse Manager login (William Opio, w.opio@morise-holdings.com), warehouse staff for Morise Agro Ltd’s MAIN warehouse (a manager, a picker / packer and a receiver), five functional bins (receiving / storage / packing / dispatch / quarantine), a draft goods receipt against AgroChem Uganda Ltd, a pending pick list built from a confirmed storefront order, and an open cycle-count session.</w:t>
      </w:r>
    </w:p>
    <w:p>
      <w:pPr>
        <w:pStyle w:val="BodyText"/>
      </w:pPr>
      <w:r>
        <w:t>Every requested feature now maps to something running: multiple warehouses, warehouse locations and stock transfers (Inventory Management pass), bin management (functional bins), receiving (goods receipts), picking / packing / dispatch (pick lists), warehouse staff management, warehouse stock counts and inventory reconciliation (stock counts), and barcode scanning (barcode lookup + line entry). Verified end to end: receiving a draft goods receipt raises the warehouse balance and the roll-up; a pick list runs pending → picked (stock issued) → packed → dispatched and carries a linked order to out_for_delivery; re-dispatching or re-receiving returns 409; a stock count reconciles, writing the variance and posting the count adjustment; a barcode resolves to its product; a caller without product.manage gets 403 on every write. nest build, admin vite build and the OpenAPI regeneration (317 paths / 401 operations) are clean.</w:t>
      </w:r>
    </w:p>
    <w:p>
      <w:pPr>
        <w:pStyle w:val="Heading2"/>
      </w:pPr>
      <w:r>
        <w:t>Impact on this document</w:t>
      </w:r>
    </w:p>
    <w:p>
      <w:pPr>
        <w:pStyle w:val="BodyText"/>
      </w:pPr>
      <w:r>
        <w:t>Business case — the group can now run a warehouse floor: assign staff by role, receive against a document, pick / pack / dispatch an order, count and reconcile stock, and scan a barcode to find a product — all on top of the multi-warehouse inventory built earlier.</w:t>
      </w:r>
    </w:p>
    <w:p>
      <w:pPr>
        <w:pStyle w:val="Heading1"/>
      </w:pPr>
      <w:r>
        <w:t>93. Implementation Status Update 81 (2 September 2026) — Asset Management: Categories, Inspections, Insurance &amp; Asset History</w:t>
      </w:r>
    </w:p>
    <w:p>
      <w:pPr>
        <w:pStyle w:val="BodyText"/>
      </w:pPr>
      <w:r>
        <w:t>An administrator asked to add and implement an “Asset Management” section for every asset owned by Multi Holdings and its subsidiaries, covering asset registration, categories, asset numbers, location, custodian, purchase information, supplier information, asset value, depreciation, transfer, maintenance, disposal, inspection, insurance, documents and history (examples: vehicles, buildings, computers, machinery, furniture, equipment, land, office equipment). The Sprint-11 Asset Service already covered registration, asset numbers, location (branch), custodian, purchase date / cost, straight-line depreciation with GL posting, asset value (net book value), transfer (including cross-company), maintenance logging, and the request → approve → dispose workflow with a derecognition entry. This pass builds the rest.</w:t>
      </w:r>
    </w:p>
    <w:p>
      <w:pPr>
        <w:pStyle w:val="BodyText"/>
      </w:pPr>
      <w:r>
        <w:t>Migration 20260902120000_asset_management adds asset_categories (a first-class category with a code, a name and depreciation defaults — method, useful life in years, salvage as a percentage of cost — that a newly-registered asset inherits unless the registration overrides them); asset_inspections (a periodic condition inspection: date, inspector, a condition rating of excellent / good / fair / poor / unserviceable, findings, action required and a next-due date, distinct from the one-off inspection notes inside the disposal workflow); asset_insurance_policies (a first-class policy: insurer, policy number, cover amount, premium, term and a status of active / expired / cancelled, superseding the three inline insurer / policy-number / expiry fields, which are kept in step with the latest policy for backward compatibility); and asset_events (an append-only asset-history row written by every lifecycle action). The Asset record itself gains category_id, supplier_id (a link to the Supplier master), purchase_reference (PO / invoice number) and warranty_expiry_date.</w:t>
      </w:r>
    </w:p>
    <w:p>
      <w:pPr>
        <w:pStyle w:val="BodyText"/>
      </w:pPr>
      <w:r>
        <w:t>New endpoints sit under the existing asset.manage / asset.viewAll / asset.approve.disposal permissions — no new permission. GET / POST /assets/categories and PATCH /assets/categories/:id manage categories. GET / POST /assets/:id/inspections record and list inspections. GET / POST /assets/:id/insurance and PATCH /assets/insurance/:policyId manage insurance policies. GET /assets/:id/history returns the chronological event timeline. Four reports are exposed at GET /assets/reports/*: register (the fixed-asset register — cost, accumulated depreciation, net book value, category, custodian, location, per asset with totals), depreciation-schedule (per straight-line asset: annual charge, accumulated, NBV, years remaining), insurance-expiring (policies already expired or within N days of expiry) and inspections-due (assets whose next inspection date has passed or falls within N days). Registration also auto-generates the asset number as AST-YYYY-NNNN when one is not supplied, and inherits the category's depreciation defaults.</w:t>
      </w:r>
    </w:p>
    <w:p>
      <w:pPr>
        <w:pStyle w:val="BodyText"/>
      </w:pPr>
      <w:r>
        <w:t>Every lifecycle action — registration, record update, transfer, depreciation, maintenance, inspection, insurance add / update, and each disposal step — now writes an asset_events row, so GET /assets/:id/history is a single chronological read rather than six tables stitched together. Every mutation is also audited as before (asset.category.created / updated, asset.inspection.recorded, asset.insurance.added / updated). The admin Assets screen gains a Categories manager, and each asset opens a detail dialog with Overview, Inspections, Insurance and History tabs; the registration form gains a category picker, supplier / purchase-reference / warranty fields and an optional (auto-generated) asset number. Seed data adds eight asset categories for Morise Agro Ltd (Vehicles, Buildings, Computers, Machinery, Furniture, Equipment, Land, Office Equipment) with depreciation defaults, links the three seeded assets to a category / supplier / purchase reference, backfills their history events, and adds an inspection and a first-class insurance policy on the Toyota Hilux.</w:t>
      </w:r>
    </w:p>
    <w:p>
      <w:pPr>
        <w:pStyle w:val="BodyText"/>
      </w:pPr>
      <w:r>
        <w:t>Asset documents remain a text document_reference on the record — the same deferred object-storage gap this project carries for company logos, employee documents and supplier contracts. Verified end to end: a category's defaults flow into a new asset; the asset number auto-generates; the history timeline shows registration, inspection and insurance events in order; the register and depreciation-schedule reports total correctly; the insurance-expiring and inspections-due reports pick up the seeded policy and a new inspection; a caller without asset.manage gets 403 on every write. nest build, admin vite build and the OpenAPI regeneration (327 paths / 414 operations) are clean.</w:t>
      </w:r>
    </w:p>
    <w:p>
      <w:pPr>
        <w:pStyle w:val="Heading2"/>
      </w:pPr>
      <w:r>
        <w:t>Impact on this document</w:t>
      </w:r>
    </w:p>
    <w:p>
      <w:pPr>
        <w:pStyle w:val="BodyText"/>
      </w:pPr>
      <w:r>
        <w:t>Business case — one asset register for the group: register by category with depreciation defaults, tie an asset to its supplier and PO, run periodic condition inspections, track insurance cover and renewals, and read the full asset history and the fixed-asset register / depreciation schedule at any time.</w:t>
      </w:r>
    </w:p>
    <w:p>
      <w:pPr>
        <w:pStyle w:val="Heading1"/>
      </w:pPr>
      <w:r>
        <w:t>94. Implementation Status Update 82 (2 September 2026) — Fleet &amp; Vehicle Management Module</w:t>
      </w:r>
    </w:p>
    <w:p>
      <w:pPr>
        <w:pStyle w:val="BodyText"/>
      </w:pPr>
      <w:r>
        <w:t>An administrator asked to add and implement a “Fleet and Vehicle Management” section covering vehicle registration, vehicle ownership, driver assignment, vehicle tracking, fuel management, mileage, service schedules, repairs, insurance, inspection, licence renewal, accident records, vehicle expenses and fuel-consumption reports. This ships as a new Fleet module, a fleet register that sits on top of — and optionally links to — the Asset module (a vehicle asset already carries purchase cost, depreciation, first-class insurance policies and periodic inspections from the Asset Management pass).</w:t>
      </w:r>
    </w:p>
    <w:p>
      <w:pPr>
        <w:pStyle w:val="BodyText"/>
      </w:pPr>
      <w:r>
        <w:t>Migration 20260902130000_fleet_management adds vehicles (registration number unique per company, make / model / year / VIN / colour, fuel type, ownership type of owned / leased / financed / hired with an owner name for a lessor or financier, acquisition date, current odometer, a manual last-known-location, status of active / in_service / off_road / sold / written_off, and an optional 1:1 link to an Asset) plus eight child tables: vehicle_driver_assignments (one active per vehicle, the previous auto-ended on reassignment), vehicle_odometer_readings (the mileage history — also written from fuel and service entries), fuel_logs (date, litres, cost, odometer, station, filled-to-full flag), service_schedules (an interval in km and/or days with a computed next-due odometer and date), service_records (kind service or repair, tied optionally to a schedule which it then advances), vehicle_renewals (road licence, inspection certificate, PSV permit, insurance, road worthiness or other, with a reference, expiry date and cost), accident_records (severity, description, driver, third-party flag, estimated cost, insurance-claim and police-report references, resolved flag) and vehicle_expenses (a rolled-up log — a fuel log, a service / repair record and a paid renewal each auto-create a matching expense line, and manual lines can be added).</w:t>
      </w:r>
    </w:p>
    <w:p>
      <w:pPr>
        <w:pStyle w:val="BodyText"/>
      </w:pPr>
      <w:r>
        <w:t>A new fleet.manage / fleet.viewAll permission pair is added (domain operations) and granted the same way delivery.* was: manage + viewAll to Super Administrator, Managing Director, IT Administrator and Operations Manager; manage (own scope) to Branch Manager and the Warehouse Manager; viewAll to Group CEO, Auditor, External Auditor, Board Member and the Read-only User. Endpoints sit under /api/v1/fleet: GET / POST /fleet/vehicles, GET / PATCH /fleet/vehicles/:id, GET /fleet/vehicles/:id/summary, POST /fleet/vehicles/:id/location; GET / POST /fleet/vehicles/:id/assignments and POST /fleet/assignments/:id/end; GET / POST /fleet/vehicles/:id/odometer and .../fuel; GET / POST /fleet/vehicles/:id/service-schedules, PATCH /fleet/service-schedules/:id, GET / POST /fleet/vehicles/:id/service-records; GET / POST /fleet/vehicles/:id/renewals; GET / POST /fleet/vehicles/:id/accidents and PATCH /fleet/accidents/:id; GET / POST /fleet/vehicles/:id/expenses.</w:t>
      </w:r>
    </w:p>
    <w:p>
      <w:pPr>
        <w:pStyle w:val="BodyText"/>
      </w:pPr>
      <w:r>
        <w:t>Five reports are exposed at GET /fleet/reports/*: fleet-register (every vehicle with its key attributes and odometer), fuel-consumption (per vehicle: fills, litres, cost, distance from consecutive full-to-full fills, L/100km, km/L and cost/km, with a date range), expenses (per vehicle and per category totals with cost/km, date-ranged), renewals-due (renewals already expired or within N days of expiry) and service-due (schedules past their next-due odometer or date). GET /fleet/vehicles/:id/summary rolls these up for one vehicle — active driver, services due, next renewal, year-to-date expense by category and lifetime fuel economy. Every mutation is audited (fleet.vehicle.registered / updated, fleet.driver.assigned, fleet.fuel.logged, fleet.odometer.logged, fleet.service.recorded / repair.recorded, fleet.renewal.recorded, fleet.accident.recorded / updated, fleet.expense.recorded).</w:t>
      </w:r>
    </w:p>
    <w:p>
      <w:pPr>
        <w:pStyle w:val="BodyText"/>
      </w:pPr>
      <w:r>
        <w:t>Live GPS telematics is out of scope — “vehicle tracking” here is the odometer history plus a manual last-known-location. Vehicle inspection and insurance are covered by the linked asset’s AssetInspection / AssetInsurancePolicy records (Asset Management pass, 2 September 2026); the fleet module adds the statutory renewals a vehicle also needs. The admin app gains a new Fleet screen (nav entry under Admin / Backend, route /fleet, gated on fleet.manage / fleet.viewAll) with a vehicle register, a per-vehicle detail dialog (Summary / Drivers / Fuel / Odometer / Service / Renewals / Accidents / Expenses tabs) and a Reports tab. Seed data adds three vehicles for Morise Agro Ltd (the Toyota Hilux linked to asset AST-0001, an Isuzu FRR truck and a leased Toyota HiAce), a driver assignment, three fuel logs, a service schedule with a completed service, a repair, three renewals (one expired), an unresolved accident and the matching vehicle-expense lines. Verified end to end: fuel economy computes from full-to-full fills; a scheduled service advances the schedule’s next-due; reassigning a driver auto-ends the previous assignment; the fuel-consumption / expenses / renewals-due / service-due reports total correctly; a caller without fleet.manage gets 403 on every write while the Warehouse Manager (granted fleet.manage) can register a vehicle. nest build, admin vite build and the OpenAPI regeneration (347 paths / 444 operations) are clean.</w:t>
      </w:r>
    </w:p>
    <w:p>
      <w:pPr>
        <w:pStyle w:val="Heading2"/>
      </w:pPr>
      <w:r>
        <w:t>Impact on this document</w:t>
      </w:r>
    </w:p>
    <w:p>
      <w:pPr>
        <w:pStyle w:val="BodyText"/>
      </w:pPr>
      <w:r>
        <w:t>Business case — the group runs its vehicles from one register: ownership (owned / leased / financed / hired), the assigned driver, fuel spend and economy, service schedules and repairs, statutory renewals, accident history and total cost per kilometre — with fuel-consumption and expense reporting across the fleet.</w:t>
      </w:r>
    </w:p>
    <w:p>
      <w:pPr>
        <w:pStyle w:val="Heading1"/>
      </w:pPr>
      <w:r>
        <w:t>95. Implementation Status Update 83 (2 September 2026) — Remaining Feature Catalogue (Sections 17-57) &amp; Notifications and Alerts</w:t>
      </w:r>
    </w:p>
    <w:p>
      <w:pPr>
        <w:pStyle w:val="BodyText"/>
      </w:pPr>
      <w:r>
        <w:t>An administrator asked to add, update and implement the remaining feature specification — sections 17 through 57 of the master requirements. This is a catalogue of ~40 areas spanning Project, Contract, Legal and Document Management; Approval Workflow; Expense, Loan, Investment and Shareholding Management; Board &amp; Corporate Governance; Customer Support; Communication; Marketing; Business Intelligence &amp; Reporting; Audit Management; the System Audit Trail; Tax and Multi-Currency Management; Multi-Branch and Inter-Company Transactions; Consolidated Financial Management; role-based BI Dashboards; Notifications &amp; Alerts; Mobile Access; Security; Backup &amp; Disaster Recovery; Integrations; API Management; Configuration &amp; Administration; Search &amp; Filtering; Data Import/Export; Workflow &amp; Automation; Business Process Management; Performance &amp; KPI Management; Compliance; Exit &amp; Employee Separation; Data Protection; the recommended System Architecture; the recommended module list; the group Key Advantage; and the phased development approach. This update records the whole block against the running system and ships one implementation from it.</w:t>
      </w:r>
    </w:p>
    <w:p>
      <w:pPr>
        <w:pStyle w:val="BodyText"/>
      </w:pPr>
      <w:r>
        <w:t>Already BUILT (with running code). Project Management — src/projects (registration, manager assignment, teams, tasks, task assignment, milestones, timelines, budget, profitability, status lifecycle; project cost = its paid expenses). Expense Management — src/expenses (claims, category, receipt reference, two-step manager/finance approval, payment posting a balanced journal entry). Customer Support — src/support (SupportTicket: category, priority, open→resolved, assignment). System Audit Trail — src/common/audit + GET /audit/logs + the PermissionsGuard recording every access_denied centrally; each row carries user, company, date/time, action, entity, previous and new value. Inter-Company Transactions — src/inter-company (loan / transfer / service-charge / cost-allocation, each posting two independently balanced journal entries) plus cross-company asset transfer. Consolidated Financial Management — ?consolidated=true income statement and balance sheet, management-accounts and budget-vs-actual across a holding company. Multi-Branch — the Branch entity with BR-01 branch scoping on employees, customers, products, warehouses, vehicles and assets, plus a branch-scoped dashboard. Business Intelligence &amp; Dashboards — src/dashboard (group and subsidiary financial position, monthly revenue / expense / profit-and-loss / cash-flow charts, company performance comparison, financial and operational alerts), src/finance overview, src/hr-dashboard, and the nine financial statements at /accounting/reports/*. Security — JWT + refresh tokens, a configurable password policy (FR-AUTH-04), account lockout / unlock, session refresh, role- plus company- / branch- / department-scoped permissions, direct grant/revoke on top of roles, delegated administration, and the audit trail. API Management — a generated OpenAPI / Swagger document (openapi.json, /api/v1/docs) covering 349 paths. Configuration &amp; Administration — company-specific policies, the role and permission catalogue, financial periods, and consistent document numbering (JE-, GRN-, PICK-, AST-, CNT- …). Workflow &amp; Automation — the sales, procurement / accounts-payable, employee-lifecycle, expense and contract-expiry workflows all exist as coded state machines. Performance &amp; KPI — src/performance (review cycles, objectives / KPIs, self- and manager assessment) plus the payroll bonus and the dashboard company comparison.</w:t>
      </w:r>
    </w:p>
    <w:p>
      <w:pPr>
        <w:pStyle w:val="BodyText"/>
      </w:pPr>
      <w:r>
        <w:t>PARTIAL (thin, or delivered through another entity). Contract Management — only a text contract reference and expiry date on the Supplier record, now surfaced in the alert feed; no first-class Contract entity for customer / employee / service / lease / partnership agreements, no renewal-reminder configuration, no contract documents / approvals / history. Investment Management and Shareholding Management — the holding structure is modelled (Company parent / subsidiary, relationship type subsidiary / associate, ownership percentage) but there is no Investment or Shareholder register, valuation, dividend or share-transfer handling. Tax Management — Uganda PAYE and NSSF are computed in payroll and VAT is carried on orders and invoices, but there is no tax-configuration module, no withholding tax, tax returns or reconciliation. Multi-Currency — a currency code is stored on orders, invoices and payables, but there is no exchange-rate table, conversion, FX gain/loss or multi-currency reporting. Approval Workflow — concrete approvals are built (expense two-step, AP invoice submit→approve, asset disposal request→approve→execute, leave) and are now aggregated as pending-approval alerts, but there is no configuration engine keyed by amount / department / branch / role. Communication and Marketing — an in-process notification service, the storefront newsletter and admin-managed FAQ / social links, discount codes, promo banners and CMS content pages exist; internal messaging, real email / SMS / push transport, and marketing campaigns / segmentation / leads / ROI do not. Search &amp; Filtering — every list endpoint takes filter[…] parameters, but there is no single global-search endpoint. Data Import / Export — reports export to CSV and PDF; there is no bulk Excel / CSV import. Mobile Access — both React apps use responsive layout, but there is no dedicated mobile client and some dense admin screens assume a desktop. Compliance and Data Protection — the expiry alerts, RBAC and scope access restrictions and masked sensitive fields are in place; a compliance register, checklists, field-level encryption at rest and a data-retention policy are not.</w:t>
      </w:r>
    </w:p>
    <w:p>
      <w:pPr>
        <w:pStyle w:val="BodyText"/>
      </w:pPr>
      <w:r>
        <w:t>PLANNED (no code yet). Legal Management — no legal-case, litigation, lawyer, permit / licence register or legal-deadline entities. Document Management — the project-wide object-storage gap: every “documents” feature (company logos, employee documents, supplier contracts, asset documents, project documents) is a text reference, not an upload / version / preview / signature store; there is no Document entity, versioning, digital signatures or a document-specific audit trail. Loan &amp; Financing Management — only the short-term SalaryAdvance (auto-recovered from payroll) exists; there is no loan facility, applications, repayment schedules, interest calculation or loan statements. Board &amp; Corporate Governance — no board-member, meeting, agenda, minutes, resolution, committee or voting entities. Audit Management — the audit TRAIL is built; audit MANAGEMENT (audit planning, internal / external audit engagements, findings, corrective actions, follow-ups) is not. Backup &amp; Disaster Recovery — only the Docker Postgres volume; no scheduled / cloud backup, replication, restore tooling or backup verification. Integration Features — none of the external integrations (banks, mobile money, payment gateways, real email / SMS gateways, tax systems, biometric devices, GPS / fleet telematics, cloud storage) are built; Google login and the Kafka event bus are seams only. Business Process Management — no workflow designer or configurable approval-level engine. Exit &amp; Employee Separation — an employment end date and status exist, but there is no resignation / termination / retirement workflow, exit interview, clearance checklist, final-pay or benefits calculation, or certificate generation.</w:t>
      </w:r>
    </w:p>
    <w:p>
      <w:pPr>
        <w:pStyle w:val="BodyText"/>
      </w:pPr>
      <w:r>
        <w:t>System Architecture (section 54) and phasing (section 57). The running stack already matches the recommendation's core — Node.js LTS, NestJS, Fastify, PostgreSQL, Redis, Prisma, REST / OpenAPI, JWT with refresh tokens, class-validator, Docker. The distributed pieces (a microservices split, Kafka event streaming, Jaeger / EFK tracing, Prometheus / Grafana, Ansible, Certbot, iRedMail, Zulip / Slack) are explicitly deferred: this proof-of-concept is a single modular NestJS service with the Kafka consumer seam stubbed (AuditService is called directly and synchronously), exactly as 07_System Design Document records. Against the phased approach: Phase 1 (Core) is complete; Phase 2 (Business Operations — sales, procurement, inventory, warehouse, expenses, assets, projects) is complete; Phase 3 (Advanced Finance — payroll incl. salary structures, budgeting, banking through the GL, inter-company, consolidated accounting) is largely complete, with loans, investments and a tax module the gaps; Phase 4 (Enterprise Management — HR is deep, CRM = the customer master plus support, BI is substantial) is partial, with contracts, legal, compliance, board management and document management outstanding; Phase 5 (Integration &amp; Security — the UI is responsive, OpenAPI is generated) is minimal, with API keys, integrations, 2FA, automated backup and disaster recovery all outstanding.</w:t>
      </w:r>
    </w:p>
    <w:p>
      <w:pPr>
        <w:pStyle w:val="BodyText"/>
      </w:pPr>
      <w:r>
        <w:t>IMPLEMENTED THIS PASS — Notifications &amp; Alerts (section 39). A new src/alerts module exposes GET /api/v1/alerts and GET /api/v1/alerts/summary: a single cross-module feed, derived at request time (no schema, no new permission, read-only) from eleven sources — accounts-receivable invoices overdue, accounts-payable invoices overdue, pending approvals (expense claims at the manager and finance step, supplier invoices, asset disposals and leave requests, as grouped counts), supplier contracts expiring or expired, vehicle statutory renewals due or expired, vehicle service schedules due (by date or by odometer), asset insurance policies expiring, asset inspections due, products below their minimum or reorder point (or out of stock), stock batches expiring, and projects nearing or past their planned end date. Each alert carries a severity (critical = already overdue / expired, warning = within the window, info), a category, the owning company, a title, a detail line, the linked entity, a date and an amount where relevant. The feed is filtered to the caller's company scope per BR-01 unless they hold organization.company.viewAll, takes a days window (default 30, up to 365), and accepts category and severity filters; /summary returns counts by severity and by category with an overdue-versus-upcoming split. The admin app gains an Alerts screen (navigation under Admin / Backend, route /alerts) with a severity KPI row, clickable category chips and a filterable table. Verified end to end against the seeded data (17 alerts across 8 categories, correctly ranked and scope-filtered); nest build and admin vite build clean; openapi.json regenerated (347 → 349 paths, 446 operations).</w:t>
      </w:r>
    </w:p>
    <w:p>
      <w:pPr>
        <w:pStyle w:val="Heading2"/>
      </w:pPr>
      <w:r>
        <w:t>Impact on this document</w:t>
      </w:r>
    </w:p>
    <w:p>
      <w:pPr>
        <w:pStyle w:val="BodyText"/>
      </w:pPr>
      <w:r>
        <w:t>Business case — the group already runs its core operations and finance from one system; the value still to capture is the enterprise-management tier (contracts, legal, compliance, board, document store, loans, investments) and the integration / backup / API layer. The new alert feed turns the data already captured into day-to-day management attention.</w:t>
      </w:r>
    </w:p>
    <w:p>
      <w:pPr>
        <w:pStyle w:val="Heading1"/>
      </w:pPr>
      <w:r>
        <w:t>96. Implementation Status Update 84 (2 September 2026) — Final System Objective &amp; the Executive Answer Layer</w:t>
      </w:r>
    </w:p>
    <w:p>
      <w:pPr>
        <w:pStyle w:val="BodyText"/>
      </w:pPr>
      <w:r>
        <w:t>An administrator asked to add, update and implement the Final System Objective — the closing statement of the master specification. It states that the finished Morise Holdings Limited system should be a single centralized platform for managing the entire group while keeping proper separation between companies, branches, departments and users, and that it should let management answer a fixed set of seventeen questions: how much money the group has; which subsidiary makes the most profit; which is underperforming; how much each company owes suppliers; how much customers owe the group; what assets each company owns; how many employees the group has; how much is spent on salaries; which projects are profitable; which contracts are about to expire; which vehicles require servicing; which stock items are running low; which payments require approval; how much each department has spent; how group investments are performing; what the current liabilities are; and what the consolidated financial position of the entire group is. The resulting platform is characterised as an ERP + HRM + CRM + Accounting + Inventory + Procurement + Project Management + Asset Management + Corporate Governance system structured specifically for Morise Holdings Limited.</w:t>
      </w:r>
    </w:p>
    <w:p>
      <w:pPr>
        <w:pStyle w:val="BodyText"/>
      </w:pPr>
      <w:r>
        <w:t>The separation model the objective demands is already the spine of the build: BR-01 company / branch / department scoping enforced server-side across every module, a role and permission catalogue with direct grant / revoke and delegated administration, and the group → subsidiary → branch hierarchy in the Organization service, so a Group role sees consolidated information while a subsidiary-scoped user sees only their own company (the “centralized group management with controlled subsidiary independence” of section 56). The module coverage the objective names is substantially in place: Accounting and Finance (chart of accounts, journals, periods, AR, AP, nine financial statements, consolidated variants), HR and Payroll, CRM (the customer master plus support), Inventory and Warehouse operations, Procurement’s supplier and accounts-payable tail, Project Management, Asset Management, Fleet, and the group dashboards.</w:t>
      </w:r>
    </w:p>
    <w:p>
      <w:pPr>
        <w:pStyle w:val="BodyText"/>
      </w:pPr>
      <w:r>
        <w:t>IMPLEMENTED THIS PASS — the executive answer layer. A new src/executive module exposes GET /api/v1/executive/questions and GET /api/v1/executive/overview. /questions returns the seventeen questions each with a plain-language answer computed from live data, a numeric value, a unit (money / count), a status (answered / partial / planned) and, where useful, a per-company or per-item breakdown. /overview returns the same figures as a compact key-value summary for a dashboard tile. Both are filtered to the caller’s company scope per BR-01: a user holding organization.company.viewAll gets the whole group; a subsidiary-scoped user gets only their companies, and the answers (net profit, cash, receivables, payables, headcount, salary bill, liabilities, consolidated position) recompute for that narrower set. The answers draw on the existing DashboardService financials (per-company assets, liabilities, cash, receivables, payables, revenue, expense, net profit and their group totals) plus direct queries for asset net book value, active headcount and the monthly gross-salary bill, project profitability (recorded revenue less attributed paid expenses), supplier contracts expiring within 60 days, vehicle service schedules due by date or odometer, products below their minimum or reorder point, pending approvals (expense claims at the manager and finance step plus supplier invoices), and paid expenses grouped by department. Two answers are marked partial — “which contracts are about to expire?” covers only supplier contracts today, and “how much has each department spent?” counts only paid expenses — and one is marked planned — “how are group investments performing?”, pending a first-class Investment register.</w:t>
      </w:r>
    </w:p>
    <w:p>
      <w:pPr>
        <w:pStyle w:val="BodyText"/>
      </w:pPr>
      <w:r>
        <w:t>Read-only; no schema change; no new permission. The admin app gains an Executive Q&amp;A screen (navigation under the Financial &amp; Accounting category, route /executive) with a six-tile key-figure strip and one card per question, each showing its status, its plain-language answer, its headline value and an expandable breakdown table. Verified end to end: the Managing Director sees all seventeen answers for the whole group; a subsidiary-scoped Branch Manager sees the same seventeen recomputed for their one company (headcount, net profit and the top-subsidiary line all narrow correctly). nest build and admin vite build clean; openapi.json regenerated (349 → 351 paths, 448 operations). This completes the documentation pass over the master specification: sections 1-16 were built across Sprints 1-16 and Updates 26-69, sections 17-57 were catalogued in Update 83 with the Notifications &amp; Alerts feed shipped, and the Final System Objective is answered here.</w:t>
      </w:r>
    </w:p>
    <w:p>
      <w:pPr>
        <w:pStyle w:val="Heading2"/>
      </w:pPr>
      <w:r>
        <w:t>Impact on this document</w:t>
      </w:r>
    </w:p>
    <w:p>
      <w:pPr>
        <w:pStyle w:val="BodyText"/>
      </w:pPr>
      <w:r>
        <w:t>Business case — the objective's promise — one platform, seventeen answers on demand, with company / branch separation — is now directly demonstrable from a single screen and a single API call, with fifteen of the seventeen questions answered outright, one partial and one on the roadmap (investments).</w:t>
      </w:r>
    </w:p>
    <w:p>
      <w:pPr>
        <w:pStyle w:val="Heading1"/>
      </w:pPr>
      <w:r>
        <w:t>97. Implementation Status Update 85 (2 September 2026) — Payroll Payslips Visible to Staff on Approval</w:t>
      </w:r>
    </w:p>
    <w:p>
      <w:pPr>
        <w:pStyle w:val="BodyText"/>
      </w:pPr>
      <w:r>
        <w:t>An administrator asked that, once a payroll run is approved for a company, that company's staff and members be able to view their own payslip in the My Payslips section of My HR in the admin application — without waiting for the run to be paid. Until now a payslip only appeared to its owner after the payroll run had been marked paid; between approval and payment the employee could see nothing, even though the run's figures were already final.</w:t>
      </w:r>
    </w:p>
    <w:p>
      <w:pPr>
        <w:pStyle w:val="BodyText"/>
      </w:pPr>
      <w:r>
        <w:t>My HR is the employee self-service area of the admin app: every screen is scoped to the signed-in user through the Employee.userId link, so a person sees only their own attendance, leave, shifts, performance, payslips and salary advances. My Payslips is backed by GET /api/v1/my-hr/payslips, which returned the caller's payslip rows whose payroll run had reached status paid — each with the period, the pay date, gross pay, PAYE, NSSF (employee and employer), salary-advance recovery, other deductions, net pay and the earnings breakdown.</w:t>
      </w:r>
    </w:p>
    <w:p>
      <w:pPr>
        <w:pStyle w:val="BodyText"/>
      </w:pPr>
      <w:r>
        <w:t>IMPLEMENTED THIS PASS. GET /api/v1/my-hr/payslips now returns a payslip as soon as its payroll run is approved: the run-status filter widened from paid to approved-or-paid, and each row now also carries the run status (approved or paid) and the approvedAt date alongside paidAt. Draft and cancelled runs stay invisible, and the per-employee scoping is unchanged — a staff member still sees only their own payslip. POST /api/v1/payroll/runs/:id/approve now notifies every run member who has a login, the same way the pay step already did: each linked employee gets a “Your payslip for &lt;month&gt; &lt;year&gt; is ready to view” notification pointing at My HR → My Payslips, and the payment-time notification was reworded to “Your &lt;month&gt; &lt;year&gt; pay has been released.”</w:t>
      </w:r>
    </w:p>
    <w:p>
      <w:pPr>
        <w:pStyle w:val="BodyText"/>
      </w:pPr>
      <w:r>
        <w:t>The My Payslips screen (mbms/frontend/src/pages/MyHr.jsx) gains a Status column — an amber “Approved · awaiting payment” badge until the run is paid, then a green “Paid · &lt;date&gt;” badge — and the same status line in the payslip detail dialog; the empty-state text now reads “… once a payroll run that includes you has been approved.” Read-only widening of an existing endpoint: no schema change, no migration, no new permission. Verified end to end against the seeded data: a holding-company staff member with a login sees the approved August 2026 run's payslip immediately (status approved, no pay date); a freshly created draft run's payslips stay invisible; approving a run fires exactly one notification per member with a login; paying the run flips the badge to Paid. nest build and admin vite build clean; openapi.json unchanged (351 paths / 448 operations / 175 schemas).</w:t>
      </w:r>
    </w:p>
    <w:p>
      <w:pPr>
        <w:pStyle w:val="Heading2"/>
      </w:pPr>
      <w:r>
        <w:t>Impact on this document</w:t>
      </w:r>
    </w:p>
    <w:p>
      <w:pPr>
        <w:pStyle w:val="BodyText"/>
      </w:pPr>
      <w:r>
        <w:t>Business case — staff see their finalised pay a pay-cycle earlier: the payslip is available the moment the run is approved, clearly marked “awaiting payment” until funds are released, which removes the blind window between approval and payment.</w:t>
      </w:r>
    </w:p>
    <w:p>
      <w:pPr>
        <w:pStyle w:val="Heading1"/>
      </w:pPr>
      <w:r>
        <w:t>98. Implementation Status Update 86 (2 September 2026) — Alerts on the Admin Bell, Routed by Department</w:t>
      </w:r>
    </w:p>
    <w:p>
      <w:pPr>
        <w:pStyle w:val="BodyText"/>
      </w:pPr>
      <w:r>
        <w:t>An administrator asked that the Alerts feed introduced in Update 83 show up on the admin app's bell icon as notifications, and that every logged-in admin staff member see those notifications filtered to their own department. Until now the Alerts feed lived only on its own screen (GET /api/v1/alerts); the bell showed workflow notifications pushed explicitly by individual modules, and nothing routed anything by department.</w:t>
      </w:r>
    </w:p>
    <w:p>
      <w:pPr>
        <w:pStyle w:val="BodyText"/>
      </w:pPr>
      <w:r>
        <w:t>The Alerts feed is a single cross-module list of time-sensitive things that need attention — overdue customer and supplier invoices, pending approvals, expiring supplier contracts, vehicle statutory renewals and services due, asset insurance and inspections, stock below its minimum, expiring stock batches and project deadlines — each derived live from the module that owns it and filtered to the caller's company scope (BR-01). The bell is a per-user in-app feed: a Notification row per recipient, polled every 20 seconds for its unread count, with no scheduler or push infrastructure in this proof-of-concept.</w:t>
      </w:r>
    </w:p>
    <w:p>
      <w:pPr>
        <w:pStyle w:val="BodyText"/>
      </w:pPr>
      <w:r>
        <w:t>IMPLEMENTED THIS PASS. Every alert is now tagged with the department responsible for acting on it. Where the source record carries a department (projects) that column is used; otherwise the owning function is matched, case-insensitively and as a substring, against that company's own department names — so overdue invoices route to Finance / Billing, expiring contracts to Procurement, vehicle renewals and services to Fleet / Logistics / Distribution, stock and batch alerts to Warehouse / Inventory, and pending-approval queues by queue type (expense and supplier-invoice approvals to Finance, leave approvals to Human Resources). An alert that matches no department is treated as company-wide. A new AlertsService.syncToNotifications(user) mirrors the caller's live alert feed onto their bell as Notification rows of type alert:&lt;category&gt;, reconciling on each read — it creates a row for every alert that has none yet and deletes rows whose underlying alert has cleared, so the bell always reflects the current feed without a scheduler. The sync runs at the top of GET /api/v1/notifications and GET /api/v1/notifications/unread-count, is best-effort (a failure never breaks the feed) and is throttled to one reconcile per user every two minutes.</w:t>
      </w:r>
    </w:p>
    <w:p>
      <w:pPr>
        <w:pStyle w:val="BodyText"/>
      </w:pPr>
      <w:r>
        <w:t>The department filter: a staff member whose department is known — resolved from their linked Employee record, or a department-scoped access grant — sees their department's alerts plus the company-wide ones; a user with group-wide visibility (organization.company.viewAll), or one with no department at all, sees everything already in their company scope, exactly as before. Notification gains a nullable department_id column (migration 20260902140000_notification_department) and the feed now returns the routed department id and name on each row; the bell marks alert notifications with a warning glyph and shows a small department chip. No new permission, no new endpoint. Verified end to end on the seeded data (fifteen Agro alerts): the Finance &amp; Administration user receives the three overdue-invoice notifications plus the five company-wide pending-approval ones and none of the seven warehouse-routed alerts; the Warehouse &amp; Distribution user receives the stock, batch and vehicle alerts plus the five pending approvals and none of the overdue invoices; a user with no department and the Managing Director (group visibility) receive all fifteen; re-polling never duplicates a row and clearing an alert removes its notification. nest build and admin vite build clean; prisma migrate deploy applied; openapi.json regenerated (351 paths / 448 operations, path order only).</w:t>
      </w:r>
    </w:p>
    <w:p>
      <w:pPr>
        <w:pStyle w:val="Heading2"/>
      </w:pPr>
      <w:r>
        <w:t>Impact on this document</w:t>
      </w:r>
    </w:p>
    <w:p>
      <w:pPr>
        <w:pStyle w:val="BodyText"/>
      </w:pPr>
      <w:r>
        <w:t>Business case — time-sensitive items now reach the people who can act on them without anyone opening a dedicated screen: overdue invoices land on Finance's bell, low stock on the Warehouse team's, vehicle renewals on Fleet's. The alert screen and the bell now tell one story.</w:t>
      </w:r>
    </w:p>
    <w:p>
      <w:pPr>
        <w:pStyle w:val="Heading1"/>
      </w:pPr>
      <w:r>
        <w:t>99. Implementation Status Update 87 (2 September 2026) — Alert Notifications Made Visible on the Bell</w:t>
      </w:r>
    </w:p>
    <w:p>
      <w:pPr>
        <w:pStyle w:val="BodyText"/>
      </w:pPr>
      <w:r>
        <w:t>After Update 86 an administrator reported that the alert notifications still did not appear on the admin app's bell for logged-in staff. Investigation with a headless browser showed the cause was purely presentational: the notification dropdown is rendered inside the navy top bar, which sets a white text colour, and the dropdown panel never reset it — so every row was drawn in white text on a white background. The unread count on the bell was correct and the rows were in the DOM; they were simply invisible. This pass fixes the visibility and tightens the department routing.</w:t>
      </w:r>
    </w:p>
    <w:p>
      <w:pPr>
        <w:pStyle w:val="BodyText"/>
      </w:pPr>
      <w:r>
        <w:t>The dropdown panel now sets an explicit dark text colour and opaque white background (and a left text alignment), so the notification title, its detail line, the timestamp and the department chip all render at normal contrast. The department chip uses the standard neutral badge style. No behavioural change to what is shown — only whether it can be seen.</w:t>
      </w:r>
    </w:p>
    <w:p>
      <w:pPr>
        <w:pStyle w:val="BodyText"/>
      </w:pPr>
      <w:r>
        <w:t>Department routing was also made deterministic. Each alert category carries an ordered list of department-name keywords, most-specific owner first; routing now walks that list in order and the first keyword that matches any of the company's departments wins, instead of taking whichever department happened to appear first in the list. So a low-stock alert resolves to “Warehouse &amp; Distribution” on the “warehouse” keyword rather than falling through to a broader “Field Operations”, and a handful of catch-all keywords (field, operations) were added at the end of the vehicle, stock, batch and inspection categories so companies that have only a general operations department still receive those alerts.</w:t>
      </w:r>
    </w:p>
    <w:p>
      <w:pPr>
        <w:pStyle w:val="BodyText"/>
      </w:pPr>
      <w:r>
        <w:t>No schema change, no new endpoint, no new permission — this is the visibility fix for Update 86. Re-verified end to end in the running admin app with three personas: the IT Administrator (group-wide visibility) sees all fifteen seeded Agro alerts on the bell, each with its department chip (Finance &amp; Administration or Warehouse &amp; Distribution); the Finance Manager (scoped, Finance &amp; Administration) sees the three overdue-invoice alerts plus the five company-wide pending-approval alerts and none of the warehouse-routed ones; the Branch Manager (scoped, Field Operations) sees the five company-wide pending-approval alerts. All rows are legible, the ⚠️ marker and the department chip show, and re-polling does not duplicate. nest build and admin vite build clean; openapi.json unchanged.</w:t>
      </w:r>
    </w:p>
    <w:p>
      <w:pPr>
        <w:pStyle w:val="Heading2"/>
      </w:pPr>
      <w:r>
        <w:t>Impact on this document</w:t>
      </w:r>
    </w:p>
    <w:p>
      <w:pPr>
        <w:pStyle w:val="BodyText"/>
      </w:pPr>
      <w:r>
        <w:t>Business case — the feature promised in Update 86 now actually reaches the user: each staff member can read their department's alerts on the bell, correctly labelled and legible.</w:t>
      </w:r>
    </w:p>
    <w:p>
      <w:pPr>
        <w:pStyle w:val="Heading1"/>
      </w:pPr>
      <w:r>
        <w:t>100. Implementation Status Update 88 (2 September 2026) — Social Media Channels Managed From One Shared Record</w:t>
      </w:r>
    </w:p>
    <w:p>
      <w:pPr>
        <w:pStyle w:val="BodyText"/>
      </w:pPr>
      <w:r>
        <w:t>An administrator asked to manage the storefront's social media channels from the CMS / Site Builder section of the admin/backend so that a single edit — one handle, one display name, one tagline, one visibility setting — can be pushed to every social media channel at once, and so that adding, updating or deleting all channels is a single click rather than a per-channel chore.</w:t>
      </w:r>
    </w:p>
    <w:p>
      <w:pPr>
        <w:pStyle w:val="BodyText"/>
      </w:pPr>
      <w:r>
        <w:t>A new SocialContent table (migration 20260902150000_social_content) holds exactly one row: the shared content record — an account handle, a display name used as the link label on every channel, a tagline shown above the channel row in the storefront footer, and a shared visibility flag. It sits alongside the existing per-channel SocialLink table, which is unchanged, so a channel can still be added or edited individually as before.</w:t>
      </w:r>
    </w:p>
    <w:p>
      <w:pPr>
        <w:pStyle w:val="BodyText"/>
      </w:pPr>
      <w:r>
        <w:t>Four endpoints were added under the existing cms.manage / cms.viewAll permissions (no new permission): GET and PUT /api/v1/cms/social-content read and save the shared record; POST /api/v1/cms/social-content/apply pushes it onto every channel in one call — with { createMissing: true } it first creates a channel for every supported platform, building each URL from the shared handle, and with { overwriteUrls: true } it rebuilds every channel URL from that handle; DELETE /api/v1/cms/social-content/channels removes every channel at once. The CMS / Site Builder screen gains a “Shared content — one edit, all channels” panel with Save, “Apply to all channels”, “Add &amp; sync every platform” and “Clear all channels” buttons. The storefront footer now shows the shared tagline above the channel icons via a new public GET /api/v1/customer-portal/public/social-content.</w:t>
      </w:r>
    </w:p>
    <w:p>
      <w:pPr>
        <w:pStyle w:val="BodyText"/>
      </w:pPr>
      <w:r>
        <w:t>Verified end to end against the running system: saving the shared record then clicking “Add &amp; sync every platform” created the eight buildable platform channels and set every label and visibility from the record; “Apply to all channels” with the URL-rebuild option on rewrote every channel URL from the handle; “Clear all channels” deleted them all and a re-apply with createMissing rebuilt them; the storefront footer read the shared tagline. Every mutation writes an audit event (cms.social_content.updated / applied / cleared). nest build, admin vite build and storefront vite build all clean; openapi.json regenerated (355 paths, 453 operations).</w:t>
      </w:r>
    </w:p>
    <w:p>
      <w:pPr>
        <w:pStyle w:val="Heading2"/>
      </w:pPr>
      <w:r>
        <w:t>Impact on this document</w:t>
      </w:r>
    </w:p>
    <w:p>
      <w:pPr>
        <w:pStyle w:val="BodyText"/>
      </w:pPr>
      <w:r>
        <w:t>Business case — one edit now reaches every social channel, and adding, updating or clearing all of them is a single click; the change is additive (one single-row table, four endpoints on an existing controller, existing permissions).</w:t>
      </w:r>
    </w:p>
    <w:p>
      <w:pPr>
        <w:pStyle w:val="Heading1"/>
      </w:pPr>
      <w:r>
        <w:t>101. Implementation Status Update 89 (2 September 2026) — Every Social Media Platform Managed From One CMS Roster</w:t>
      </w:r>
    </w:p>
    <w:p>
      <w:pPr>
        <w:pStyle w:val="BodyText"/>
      </w:pPr>
      <w:r>
        <w:t>Following Update 88 (a shared social-content record with a one-click apply to all channels), an administrator asked that the social media channels be managed from the CMS / Site Builder section as one place that reflects every social media platform — so the panel shows all supported platforms as a fixed list, whether or not a channel row exists yet, rather than only the channels that happen to have been added.</w:t>
      </w:r>
    </w:p>
    <w:p>
      <w:pPr>
        <w:pStyle w:val="BodyText"/>
      </w:pPr>
      <w:r>
        <w:t>The CMS / Site Builder “Social media channels” panel is now a fixed roster of every supported platform (Facebook, X, Instagram, LinkedIn, YouTube, TikTok, WhatsApp, Telegram, Other). Each platform is one editable row — URL, label, visibility, order — present at all times; a platform with no URL shows as “not set” with its expected URL shape as a placeholder. Saving a row creates the channel; clearing its URL and saving removes it; the visibility toggle and the up/down order controls act on the platforms that have a row. The per-platform URL placeholder is built from the shared handle in the Update 88 record where one is set.</w:t>
      </w:r>
    </w:p>
    <w:p>
      <w:pPr>
        <w:pStyle w:val="BodyText"/>
      </w:pPr>
      <w:r>
        <w:t>Backing this: the `social_links` table now has a UNIQUE constraint on `platform` (migration 20260902160000_social_link_platform_unique — it de-duplicates any existing rows first, keeping the earliest per platform), so each platform maps to at most one channel. Two endpoints were added under the existing cms.manage / cms.viewAll permissions (no new permission): GET /api/v1/cms/social-links/roster returns all nine platforms in canonical order with any existing row merged in and a URL hint; PUT /api/v1/cms/social-links/platform/:platform creates, updates or (on an explicit empty URL) deletes that platform's single row. The free-form “add a channel” form is replaced by the roster, and the old POST /cms/social-links now rejects a second row for a platform with a clear message. Every mutation is audited as before (cms.social_link.created / updated / deleted).</w:t>
      </w:r>
    </w:p>
    <w:p>
      <w:pPr>
        <w:pStyle w:val="BodyText"/>
      </w:pPr>
      <w:r>
        <w:t>Verified end to end against the running system: the roster returns all nine platforms with the four seeded ones (Facebook, X, Instagram, LinkedIn shown; WhatsApp hidden) merged in and the rest marked “not set”; PUT platform/youtube created a row, PUT platform/facebook updated its URL, PUT platform/whatsapp with an empty URL deleted it, and POST /cms/social-links for an existing platform returned a 409 with the “edit it in the platform roster” message; the storefront footer reflected each change. nest build, admin vite build and storefront vite build all clean; prisma migrate deploy applied; openapi.json regenerated (357 paths, 455 operations). The Update 88 shared-content panel and its one-click apply / add-all / clear-all actions are unchanged and sit above the roster.</w:t>
      </w:r>
    </w:p>
    <w:p>
      <w:pPr>
        <w:pStyle w:val="Heading2"/>
      </w:pPr>
      <w:r>
        <w:t>Impact on this document</w:t>
      </w:r>
    </w:p>
    <w:p>
      <w:pPr>
        <w:pStyle w:val="BodyText"/>
      </w:pPr>
      <w:r>
        <w:t>Business case — “manage my social media channels from one place that reflects every platform” is delivered: the CMS panel is now a fixed roster of all supported platforms, each one editable whether or not it has been set up yet. Additive change — one UNIQUE constraint, two endpoints on the existing controller, existing permissions.</w:t>
      </w:r>
    </w:p>
    <w:p>
      <w:pPr>
        <w:pStyle w:val="Heading1"/>
      </w:pPr>
      <w:r>
        <w:t>102. Implementation Status Update 90 (3 September 2026) — Automatic Staff Identification Cards for Active Administration Staff</w:t>
      </w:r>
    </w:p>
    <w:p>
      <w:pPr>
        <w:pStyle w:val="BodyText"/>
      </w:pPr>
      <w:r>
        <w:t>An administrator asked that every actively registered administration staff member carry a system-generated staff identification card that is added, updated and issued automatically rather than filled in by hand for each person.</w:t>
      </w:r>
    </w:p>
    <w:p>
      <w:pPr>
        <w:pStyle w:val="BodyText"/>
      </w:pPr>
      <w:r>
        <w:t>A new staff_id_cards table (migration 20260903120000_staff_id_cards) holds exactly one card per employee: a unique card number (MID-XXXXXXXX), an opaque verification code behind the printed QR block, a status of active / revoked / expired, an issue date and a three-year expiry, an optional photo reference and a reissue count. A card is issued automatically the moment an Employee record is created; POST /api/v1/staff-id-cards/generate back-fills a card for every active employee that still lacks one and ages out any card past its expiry; setting an employee inactive revokes the card and bringing them back re-activates it.</w:t>
      </w:r>
    </w:p>
    <w:p>
      <w:pPr>
        <w:pStyle w:val="BodyText"/>
      </w:pPr>
      <w:r>
        <w:t>A new module (src/staff-id-cards) exposes /api/v1/staff-id-cards under two new HR-domain permissions — employee.idcard.manage (issue, reissue, revoke, restore, correct the photo or expiry, run the bulk sweep) and employee.idcard.viewAll (group-wide read). It offers list / summary / get / by-employee / verify-by-code reads plus generate, issue, PATCH, reissue, revoke and restore; every mutation is audited (employee.idcard.issued / reissued / revoked / restored / updated / bulk_generated) and the feed is company-scoped per BR-01. Manage + viewAll are granted to Super Administrator, Managing Director, IT Administrator and the Human Resources Manager; manage within their own scope to the Branch Manager; viewAll to the group oversight roles.</w:t>
      </w:r>
    </w:p>
    <w:p>
      <w:pPr>
        <w:pStyle w:val="BodyText"/>
      </w:pPr>
      <w:r>
        <w:t>The staff Admin app gains a Staff ID Cards screen under Human Resources (a card-face gallery with the Morise mark, the holder's photo or initials and a QR block, plus Generate missing cards / Issue / Edit / Reissue / Revoke / Restore) and a My HR -&gt; My ID Card self-service screen (GET /api/v1/my-hr/id-card, scoped by Employee.userId). Verified end to end against the running system: 11 seeded cards issued, a newly created employee received a card automatically, deactivation revoked it and reactivation restored it, and verify-by-code, reissue and the scoped feed all behaved. nest build, admin vite build and prisma migrate deploy all clean; openapi.json regenerated (367 paths, 467 operations).</w:t>
      </w:r>
    </w:p>
    <w:p>
      <w:pPr>
        <w:pStyle w:val="Heading2"/>
      </w:pPr>
      <w:r>
        <w:t>Impact on this document</w:t>
      </w:r>
    </w:p>
    <w:p>
      <w:pPr>
        <w:pStyle w:val="BodyText"/>
      </w:pPr>
      <w:r>
        <w:t>Business case - the platform now issues and maintains a controlled staff identity credential for every active administration employee automatically, removing a manual, error-prone task. Additive: one table, one module, two HR permissions; no change to the cost basis or benefits ledger beyond a small scope addition.</w:t>
      </w:r>
    </w:p>
    <w:p>
      <w:pPr>
        <w:pStyle w:val="Heading1"/>
      </w:pPr>
      <w:r>
        <w:t>103. Implementation Status Update 91 (3 September 2026) — Staff Identification Card — Front and Back</w:t>
      </w:r>
    </w:p>
    <w:p>
      <w:pPr>
        <w:pStyle w:val="BodyText"/>
      </w:pPr>
      <w:r>
        <w:t>Following Update 90 (the automatic staff identification card), an administrator asked that the card have a distinct front and a back part rather than a single face.</w:t>
      </w:r>
    </w:p>
    <w:p>
      <w:pPr>
        <w:pStyle w:val="BodyText"/>
      </w:pPr>
      <w:r>
        <w:t>The card resource now carries a back object alongside the front fields. The front is unchanged - logo header, photo or initials, holder name / job title / staff number / company / unit, the QR block, card number and issue / expiry. The back carries the standard conditions of use, an 'if found, return to' block built from the issuing company's registered address and contact, the holder's national ID and emergency contact (read live from the Employee record), an optional blood group and a free-text note (both held on the card), a Code 128-style barcode of the card number and holder / issuing-officer signature lines.</w:t>
      </w:r>
    </w:p>
    <w:p>
      <w:pPr>
        <w:pStyle w:val="BodyText"/>
      </w:pPr>
      <w:r>
        <w:t>Two card-held back fields are added - blood_group and back_notes (migration 20260903140000_staff_id_card_back) - settable on issue and via PATCH /api/v1/staff-id-cards/:id under the existing employee.idcard.manage permission; everything else on the back is derived. GET /api/v1/staff-id-cards* and GET /api/v1/my-hr/id-card all return the new back object; no new endpoint or permission.</w:t>
      </w:r>
    </w:p>
    <w:p>
      <w:pPr>
        <w:pStyle w:val="BodyText"/>
      </w:pPr>
      <w:r>
        <w:t>The shared IdCard.jsx component renders both faces - a 'Show back / Show front' flip on the admin Staff ID Cards gallery, and front-and-back side by side on My HR -&gt; My ID Card. The admin Edit dialog gains Blood group and Back note fields. Verified end to end against the running system (the back object resolves the issuer address from the company and the blood group from the card; PATCH sets both). nest build, admin vite build and prisma migrate deploy all clean; openapi.json unchanged at 367 paths / 467 operations.</w:t>
      </w:r>
    </w:p>
    <w:p>
      <w:pPr>
        <w:pStyle w:val="Heading2"/>
      </w:pPr>
      <w:r>
        <w:t>Impact on this document</w:t>
      </w:r>
    </w:p>
    <w:p>
      <w:pPr>
        <w:pStyle w:val="BodyText"/>
      </w:pPr>
      <w:r>
        <w:t>Business case - the staff identity credential is now a complete two-sided card, carrying conditions of use and emergency / 'if found' information on the back. Additive: two nullable columns, no new endpoint or permission.</w:t>
      </w:r>
    </w:p>
    <w:p>
      <w:pPr>
        <w:pStyle w:val="Heading1"/>
      </w:pPr>
      <w:r>
        <w:t>104. Implementation Status Update 92 (3 September 2026) — Staff Identification Card — Back Face Sized to the Front, Blood Group Removed</w:t>
      </w:r>
    </w:p>
    <w:p>
      <w:pPr>
        <w:pStyle w:val="BodyText"/>
      </w:pPr>
      <w:r>
        <w:t>Following Updates 90 and 91 (the automatic staff identification card, then its front and back), an administrator asked for two adjustments to the back: remove the blood group section, and make the back the same size as the front.</w:t>
      </w:r>
    </w:p>
    <w:p>
      <w:pPr>
        <w:pStyle w:val="BodyText"/>
      </w:pPr>
      <w:r>
        <w:t>The card back no longer shows a blood group. The card-held blood_group column is dropped (migration 20260903160000_staff_id_card_drop_blood_group); the free-text back_notes field is kept. The back object returned by GET /api/v1/staff-id-cards* and GET /api/v1/my-hr/id-card no longer carries bloodGroup, and POST / PATCH /api/v1/staff-id-cards/:id no longer accept it. The back still shows the holder's national ID and emergency contact (from the Employee), the conditions of use, the 'if found, return to' block from the issuing company's address, an optional note and the barcode.</w:t>
      </w:r>
    </w:p>
    <w:p>
      <w:pPr>
        <w:pStyle w:val="BodyText"/>
      </w:pPr>
      <w:r>
        <w:t>Both faces are now a single fixed rectangle - the shared IdCard.jsx component renders the front and the back at the same width and height (a fixed CARD_W x CARD_H box, overflow clipped), with the back's barcode and signature lines anchored to the bottom edge. The admin Edit dialog drops the Blood group field (Photo, Expiry and Back note remain).</w:t>
      </w:r>
    </w:p>
    <w:p>
      <w:pPr>
        <w:pStyle w:val="BodyText"/>
      </w:pPr>
      <w:r>
        <w:t>No new endpoint or permission; openapi.json path / operation counts unchanged (367 / 467). Verified end to end against the running system: the migration drops the column, the card and back payloads no longer include bloodGroup, backNotes still round-trips, and both card faces render at the same size. nest build, admin vite build and prisma migrate deploy all clean.</w:t>
      </w:r>
    </w:p>
    <w:p>
      <w:pPr>
        <w:pStyle w:val="Heading2"/>
      </w:pPr>
      <w:r>
        <w:t>Impact on this document</w:t>
      </w:r>
    </w:p>
    <w:p>
      <w:pPr>
        <w:pStyle w:val="BodyText"/>
      </w:pPr>
      <w:r>
        <w:t>Business case - a small refinement of the two-sided identity card: the blood group is removed and the two faces are the same size. Removal only - one dropped column, no new endpoint or permission.</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Courier New">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1"/>
      <w:szCs w:val="21"/>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Project Charter</dc:title>
</cp:coreProperties>
</file>

<file path=docProps/custom.xml><?xml version="1.0" encoding="utf-8"?>
<Properties xmlns="http://schemas.openxmlformats.org/officeDocument/2006/custom-properties" xmlns:vt="http://schemas.openxmlformats.org/officeDocument/2006/docPropsVTypes"/>
</file>