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Design — NotificationBell's dropdown div sets color: var(--text), an opaque white background and left alignment (it inherits color: #fff from .topbar otherwise). routeDepartment() iterates the category's keyword list in priority order and returns the first department whose name contains the current keyword.</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Design — a singleton SocialContent entity beside the unchanged SocialLink entity; the one-click apply is a single service method (applyContentToAll) with a PLATFORM_URL template map.</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Design — `SocialLink` gains `@@unique([platform])`; the CMS reads a computed roster (all platforms ∪ existing rows) and writes per platform via an upsert-or-delete endpoint.</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Design - a new Employee-Service-adjacent module (src/staff-id-cards) with a one-to-one StaffIdCard on Employee; automatic issue / status-sync hooks called from EmployeesService; company_id denormalised onto the card for BR-01 scoping without a join; the verification code an opaque token resolved by a verify endpoint.</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Design - the card resource gains a derived back object (Employee + Company fields) plus two card-held columns; the front is unchanged; the front-end IdCard component renders either face (flip) or both side by side.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Design - the blood_group column is dropped; the front-end IdCard component renders both faces in one fixed CARD_W x CARD_H box, overflow clipped, with the back's barcode / signature lines anchored to the bottom edge.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