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Administrator Manual — administrators now drive every social media channel from one shared record; the three one-click buttons and the “rebuild URLs from the handle” option are documented.</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Administrator Manual — administrators manage every social platform from the CMS roster (one row each); adding is filling in a URL and saving, removing is clearing it and saving.</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Administrator Manual - new section 'Staff identification cards': the automatic issue-on-registration and status-sync behaviour, the 'Generate missing cards' sweep, manual issue / reissue / revoke / restore, the employee.idcard.manage / employee.idcard.viewAll permissions and which roles hold them, and the verify-by-code check.</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Administrator Manual - the 'Staff identification cards' section covers the card back: which fields are derived (national id, emergency contact, issuer address) and which are set by hand (blood group, back note), via the Edit dialog or on issue.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Administrator Manual - the 'Staff identification cards' section drops the blood group; the only hand-set back field is the note.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