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Business case - a small refinement of the two-sided identity card: the blood group is removed and the two faces are the same size. Removal only - one dropped column, no new endpoint or permission.</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Business case - a sixth wholly-owned operating company, Morise Milling Ltd (grain milling), joins the group; its ERP is a specification and a phased backlog, its organisation is live. Additive: seed data + one new spec doc + a storefront listing and brand banner, no code / schema / permission change.</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Business case - a customer-facing close to the order-to-cash cycle: the customer confirms receipt and the invoice carries a verifiable Morise e-Stamp; a problem instead opens a tracked delivery exception. Additive - one endpoint, three nullable invoice columns + five nullable delivery columns, no new permission.</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Business case - the customer confirmation that triggers the Morise e-Stamp is now a first-class call to action (a Home prompt, an Orders-row link and a dedicated page), not a hidden panel. Additive - one read endpoint + two summary fields, no schema, no new permission.</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Business case - the customer confirmation that generates the Morise e-Stamp is now tied to the order's delivered status set by admin staff, and works for any delivered order (not only those dispatched by Morise Logistics). Additive - four nullable order columns, no new endpoint, no new permission.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