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Deployment — nothing to migrate for the alert feed — redeploy the backend and the admin bundle. The planned modules would each ship a migration; the deferred distributed components (Kafka, Prometheus, Jaeger, Ansible, Certbot, iRedMail) are out of scope for this proof-of-concept deployment.</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Deployment — nothing to migrate — redeploy the backend and the admin bundle. The answer layer is additive and read-only.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Deployment — nothing to migrate; redeploy the backend and the admin bundle. The change is an additive, read-only widening of an existing endpoint.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Deployment — run prisma migrate deploy (one additive nullable column + index), then redeploy the backend and the admin bundle. The mirror is lazy and best-effort; no job runner to schedule.</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Deployment — redeploy the admin bundle (and the backend for the routing tweak). No migration.</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Deployment — one additive migration (20260902150000_social_content); no configuration, infrastructure or environment change.</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Deployment — one additive migration (`20260902160000_social_link_platform_unique`) which de-duplicates `social_links` before adding the UNIQUE index; no configuration or infrastructure change.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Deployment - one additive migration (20260903120000_staff_id_cards) and a reseed (two permissions + role grants + a card per active seeded employee). No config or infrastructure change; applied with prisma migrate deploy + prisma db seed.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Deployment - one additive migration (20260903140000_staff_id_card_back, two nullable columns) and a reseed; no config or infrastructure change.</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Deployment - one migration that drops a column (20260903160000_staff_id_card_drop_blood_group); no config or infrastructure change.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Deployment - seed-only: a reseed adds Morise Milling Ltd and its organisation (idempotent upserts); no migration, config or infrastructure change. A new brand SVG (subsidiary-milling.svg) is mirrored into both apps' public assets.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Deployment - one additive migration (three invoice + five delivery nullable columns) and a reseed (one demo delivery awaiting confirmation). No config or infrastructure change.</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Deployment - front-end + one read endpoint only; no migration, config or infrastructure change; a reseed keeps the demo delivery un-acknowledged.</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Deployment - one additive migration (four nullable order columns + a delivered_at back-fill) and a reseed. No config or infrastructure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