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Maintenance — code: mbms/backend/src/alerts/ (alerts.service.ts aggregates from eleven owning modules; alerts.controller.ts). Admin: mbms/frontend/src/pages/Alerts.jsx, wired into App.jsx / Layout.jsx. No migration. The planned modules are listed in this update with their owning gaps for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Maintenance — code: mbms/backend/src/executive/ (executive.service.ts assembles the seventeen answers; executive.controller.ts; the module imports DashboardModule). Admin: mbms/frontend/src/pages/Executive.jsx, wired into App.jsx / Layout.jsx. No migration.</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Maintenance — code: mbms/backend/src/my-hr/my-hr.service.ts (payslips() run-status filter + status / approvedAt in the projection) and mbms/backend/src/payroll/payroll.service.ts (approveRun() notification loop; payRun() notification copy); admin mbms/frontend/src/pages/MyHr.jsx (MyPayslipsPage status badge, dialog line, empty-state copy). No migration.</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Maintenance — code: mbms/backend/src/alerts/alerts.service.ts (DEPT_KEYWORDS / APPROVAL_KEYWORDS, routeDepartment(), resolveUserDepartment(), syncToNotifications()), src/alerts/alerts.module.ts (exports AlertsService), src/notifications/notifications.module.ts (imports AlertsModule), notifications.controller.ts (sync on read), src/common/notifications/notifications.service.ts (department name resolution). Admin: src/components/Layout.jsx (bell chip + glyph). Migration 20260902140000_notification_department.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Maintenance — code: mbms/frontend/src/components/Layout.jsx (NotificationBell dropdown colour / background / alignment, department chip → badge neutral); mbms/backend/src/alerts/alerts.service.ts (DEPT_KEYWORDS ordering + catch-all keywords, routeDepartment() ordered loop).</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Maintenance — the shared record is a single row; each platform's URL template lives in one PLATFORM_URL map in social-links.service.ts.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Maintenance — one channel row per platform (DB-enforced); the supported-platform list and each platform's URL template live in `social-link.dto.ts` / `social-links.service.ts`.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Maintenance - keep the card validity period (default three years) and the MID- number format documented; the QR block is a placeholder pending a real encoder and the photo is a text reference pending object storage; the bulk-generate endpoint also performs the expiry sweep and can be scheduled later.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Maintenance - keep the standard conditions-of-use text (STANDARD_TERMS) and the derived-vs-held back fields documented; the back barcode is a placeholder pending a real symbology,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Maintenance - the card front and back share one fixed size (CARD_W x CARD_H in IdCard.jsx); the blood group is no longer stored.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Maintenance - keep the seeded ids documented (company a1...007; branches b1...0040-0045; departments d1...0060-0071; policies p1...0040-0045) and doc 23 in step as the milling ERP is scoped and phased.</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Maintenance - keep the stamp-number format (MOR-ESTAMP-YYYY-NNNNNN) and the seal drawing (the standard 'M' geometry) documented; the acknowledgement is one-shot per delivery; the PDF seal is vector, no font dependency.</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Maintenance - the awaiting-confirmation read is derived from deliveries.status + customer_ack_at; keep the /orders/:id/confirm route documented alongside the acknowledge endpoint.</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Maintenance - the customer receipt fields live on Order now (delivered_at + customer_receipt_*); a delivery record, when present, is kept in step; keep the stamp-number format documented.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