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Morise Holdings Limited</w:t>
      </w:r>
    </w:p>
    <w:p>
      <w:pPr>
        <w:pStyle w:val="Heading1"/>
      </w:pPr>
      <w:r>
        <w:t>Clearing, Forwarding &amp; Logistics System — Feature Specification</w:t>
      </w:r>
    </w:p>
    <w:p>
      <w:pPr>
        <w:pStyle w:val="BodyText"/>
      </w:pPr>
      <w:r>
        <w:t>Prepared 27 August 2026 · Owning entity: Morise Clearing &amp; Forwarding Ltd (wholly-owned subsidiary) · Status: specification / backlog — not yet built</w:t>
      </w:r>
    </w:p>
    <w:p>
      <w:pPr>
        <w:pStyle w:val="Heading2"/>
      </w:pPr>
      <w:r>
        <w:t>1. Purpose and Context</w:t>
      </w:r>
    </w:p>
    <w:p>
      <w:pPr>
        <w:pStyle w:val="BodyText"/>
      </w:pPr>
      <w:r>
        <w:t>The Managing Director has established Morise Clearing &amp; Forwarding Ltd as a wholly-owned subsidiary of Morise Holdings Limited for the Group's clearing, forwarding and logistics line of business. The company offers Air Freight, Ocean Freight, Road Freight, Logistics &amp; Supply Chain Management, Export Facilitation, Customs Clearance, Freight Forwarding and Warehousing, operating across multiple branches in Uganda. This document specifies the software system that subsidiary will run. It is a feature specification and phased backlog; none of the modules below are implemented in the current MBMS build.</w:t>
      </w:r>
    </w:p>
    <w:p>
      <w:pPr>
        <w:pStyle w:val="BodyText"/>
      </w:pPr>
      <w:r>
        <w:t>The subsidiary's organisation (company record, branches, departments and starter policies) has been created in MBMS and is fully manageable there by the Managing Director — see Section 4 (Organisation as built) and 15_Administrator Manual. Everything in Sections 2-3 below is future scope.</w:t>
      </w:r>
    </w:p>
    <w:p>
      <w:pPr>
        <w:pStyle w:val="Heading2"/>
      </w:pPr>
      <w:r>
        <w:t>2. Feature Modules</w:t>
      </w:r>
    </w:p>
    <w:p>
      <w:pPr>
        <w:pStyle w:val="Heading3"/>
      </w:pPr>
      <w:r>
        <w:t>1. Client &amp; CRM Management</w:t>
      </w:r>
    </w:p>
    <w:p>
      <w:pPr>
        <w:pStyle w:val="BodyText"/>
      </w:pPr>
      <w:r>
        <w:t>•  Client onboarding with KYC (TIN, business registration, national/company IDs).</w:t>
      </w:r>
    </w:p>
    <w:p>
      <w:pPr>
        <w:pStyle w:val="BodyText"/>
      </w:pPr>
      <w:r>
        <w:t>•  Client categories: importer, exporter, transporter, agent, individual.</w:t>
      </w:r>
    </w:p>
    <w:p>
      <w:pPr>
        <w:pStyle w:val="BodyText"/>
      </w:pPr>
      <w:r>
        <w:t>•  Contact and communication history log per client.</w:t>
      </w:r>
    </w:p>
    <w:p>
      <w:pPr>
        <w:pStyle w:val="BodyText"/>
      </w:pPr>
      <w:r>
        <w:t>•  Client portal login: self-service quote requests, shipment tracking, document upload/download.</w:t>
      </w:r>
    </w:p>
    <w:p>
      <w:pPr>
        <w:pStyle w:val="BodyText"/>
      </w:pPr>
      <w:r>
        <w:t>•  Credit limit and account-status management.</w:t>
      </w:r>
    </w:p>
    <w:p>
      <w:pPr>
        <w:pStyle w:val="BodyText"/>
      </w:pPr>
      <w:r>
        <w:t>•  Quotation / estimate generator per shipment type.</w:t>
      </w:r>
    </w:p>
    <w:p>
      <w:pPr>
        <w:pStyle w:val="BodyText"/>
      </w:pPr>
      <w:r>
        <w:t>•  Complaints / ticketing and feedback module.</w:t>
      </w:r>
    </w:p>
    <w:p>
      <w:pPr>
        <w:pStyle w:val="BodyText"/>
      </w:pPr>
      <w:r>
        <w:t>•  SMS / Email / WhatsApp notification integration.</w:t>
      </w:r>
    </w:p>
    <w:p>
      <w:pPr>
        <w:pStyle w:val="BodyText"/>
      </w:pPr>
      <w:r>
        <w:t>•  Trust-building features from the FAQ: transparent fee breakdowns and proactive milestone communication built into the client portal.</w:t>
      </w:r>
    </w:p>
    <w:p>
      <w:pPr>
        <w:pStyle w:val="Heading3"/>
      </w:pPr>
      <w:r>
        <w:t>2. Shipment &amp; Job File Management</w:t>
      </w:r>
    </w:p>
    <w:p>
      <w:pPr>
        <w:pStyle w:val="BodyText"/>
      </w:pPr>
      <w:r>
        <w:t>•  Unique job-file / reference number generated per shipment.</w:t>
      </w:r>
    </w:p>
    <w:p>
      <w:pPr>
        <w:pStyle w:val="BodyText"/>
      </w:pPr>
      <w:r>
        <w:t>•  Shipment types: Import, Export, Transit, Transshipment.</w:t>
      </w:r>
    </w:p>
    <w:p>
      <w:pPr>
        <w:pStyle w:val="BodyText"/>
      </w:pPr>
      <w:r>
        <w:t>•  Mode-specific workflows: Air Freight, Ocean Freight (FCL / LCL), Road Freight.</w:t>
      </w:r>
    </w:p>
    <w:p>
      <w:pPr>
        <w:pStyle w:val="BodyText"/>
      </w:pPr>
      <w:r>
        <w:t>•  Container / cargo details: weight, volume, HS code, package count, container number.</w:t>
      </w:r>
    </w:p>
    <w:p>
      <w:pPr>
        <w:pStyle w:val="BodyText"/>
      </w:pPr>
      <w:r>
        <w:t>•  Multi-leg tracking: origin -&gt; port -&gt; border -&gt; destination.</w:t>
      </w:r>
    </w:p>
    <w:p>
      <w:pPr>
        <w:pStyle w:val="BodyText"/>
      </w:pPr>
      <w:r>
        <w:t>•  Milestone / status tracking: booked, in transit, arrived, cleared, delivered.</w:t>
      </w:r>
    </w:p>
    <w:p>
      <w:pPr>
        <w:pStyle w:val="BodyText"/>
      </w:pPr>
      <w:r>
        <w:t>•  Job costing sheet linking every charge to a specific job file.</w:t>
      </w:r>
    </w:p>
    <w:p>
      <w:pPr>
        <w:pStyle w:val="BodyText"/>
      </w:pPr>
      <w:r>
        <w:t>•  Per-job document repository (invoice, packing list, B/L, AWB, etc.).</w:t>
      </w:r>
    </w:p>
    <w:p>
      <w:pPr>
        <w:pStyle w:val="BodyText"/>
      </w:pPr>
      <w:r>
        <w:t>•  Job-file approval workflow with assignment to clearing agents / officers.</w:t>
      </w:r>
    </w:p>
    <w:p>
      <w:pPr>
        <w:pStyle w:val="Heading3"/>
      </w:pPr>
      <w:r>
        <w:t>3. Customs Clearance</w:t>
      </w:r>
    </w:p>
    <w:p>
      <w:pPr>
        <w:pStyle w:val="BodyText"/>
      </w:pPr>
      <w:r>
        <w:t>•  ASYCUDA World integration / interface for declarations.</w:t>
      </w:r>
    </w:p>
    <w:p>
      <w:pPr>
        <w:pStyle w:val="BodyText"/>
      </w:pPr>
      <w:r>
        <w:t>•  Automatic duty and tax computation: Import Duty; VAT; Withholding Tax (6%); Infrastructure Levy (1.5%); Import Declaration Fee (1%); Excise Duty; Environmental Levy; URA processing fees and port charges.</w:t>
      </w:r>
    </w:p>
    <w:p>
      <w:pPr>
        <w:pStyle w:val="BodyText"/>
      </w:pPr>
      <w:r>
        <w:t>•  HS-code lookup / classification database.</w:t>
      </w:r>
    </w:p>
    <w:p>
      <w:pPr>
        <w:pStyle w:val="BodyText"/>
      </w:pPr>
      <w:r>
        <w:t>•  Tax-exemption and EAC / COMESA Certificate of Origin handling.</w:t>
      </w:r>
    </w:p>
    <w:p>
      <w:pPr>
        <w:pStyle w:val="BodyText"/>
      </w:pPr>
      <w:r>
        <w:t>•  PVOC / Pre-Export Verification of Conformity tracking.</w:t>
      </w:r>
    </w:p>
    <w:p>
      <w:pPr>
        <w:pStyle w:val="BodyText"/>
      </w:pPr>
      <w:r>
        <w:t>•  Inspection-certificate management (UNBS and other regulators).</w:t>
      </w:r>
    </w:p>
    <w:p>
      <w:pPr>
        <w:pStyle w:val="BodyText"/>
      </w:pPr>
      <w:r>
        <w:t>•  URA payment tracking and receipt reconciliation.</w:t>
      </w:r>
    </w:p>
    <w:p>
      <w:pPr>
        <w:pStyle w:val="BodyText"/>
      </w:pPr>
      <w:r>
        <w:t>•  Bonded-warehouse / customs-warehousing declarations.</w:t>
      </w:r>
    </w:p>
    <w:p>
      <w:pPr>
        <w:pStyle w:val="BodyText"/>
      </w:pPr>
      <w:r>
        <w:t>•  Duty drawback and refund tracking.</w:t>
      </w:r>
    </w:p>
    <w:p>
      <w:pPr>
        <w:pStyle w:val="BodyText"/>
      </w:pPr>
      <w:r>
        <w:t>•  Audit trail for every customs submission.</w:t>
      </w:r>
    </w:p>
    <w:p>
      <w:pPr>
        <w:pStyle w:val="Heading3"/>
      </w:pPr>
      <w:r>
        <w:t>4. Freight Forwarding (Air / Ocean / Road)</w:t>
      </w:r>
    </w:p>
    <w:p>
      <w:pPr>
        <w:pStyle w:val="BodyText"/>
      </w:pPr>
      <w:r>
        <w:t>•  Carrier and shipping-line management: rates, schedules, contacts.</w:t>
      </w:r>
    </w:p>
    <w:p>
      <w:pPr>
        <w:pStyle w:val="BodyText"/>
      </w:pPr>
      <w:r>
        <w:t>•  Freight-rate management: buy rate vs sell rate, per lane and mode.</w:t>
      </w:r>
    </w:p>
    <w:p>
      <w:pPr>
        <w:pStyle w:val="BodyText"/>
      </w:pPr>
      <w:r>
        <w:t>•  Booking management: space booking with airlines / shipping lines / transporters.</w:t>
      </w:r>
    </w:p>
    <w:p>
      <w:pPr>
        <w:pStyle w:val="BodyText"/>
      </w:pPr>
      <w:r>
        <w:t>•  Bill of Lading / Air Waybill generation and tracking.</w:t>
      </w:r>
    </w:p>
    <w:p>
      <w:pPr>
        <w:pStyle w:val="BodyText"/>
      </w:pPr>
      <w:r>
        <w:t>•  Container / truck allocation and load planning.</w:t>
      </w:r>
    </w:p>
    <w:p>
      <w:pPr>
        <w:pStyle w:val="BodyText"/>
      </w:pPr>
      <w:r>
        <w:t>•  Route optimisation across border points (Malaba, Busia, Mutukula, Elegu, ...).</w:t>
      </w:r>
    </w:p>
    <w:p>
      <w:pPr>
        <w:pStyle w:val="BodyText"/>
      </w:pPr>
      <w:r>
        <w:t>•  Transit-time estimator (e.g. Mombasa-Kampala turnaround).</w:t>
      </w:r>
    </w:p>
    <w:p>
      <w:pPr>
        <w:pStyle w:val="BodyText"/>
      </w:pPr>
      <w:r>
        <w:t>•  Cross-border transit documents: T1, RCTG (Regional Customs Transit Guarantee).</w:t>
      </w:r>
    </w:p>
    <w:p>
      <w:pPr>
        <w:pStyle w:val="BodyText"/>
      </w:pPr>
      <w:r>
        <w:t>•  Demurrage and detention tracking and alerts.</w:t>
      </w:r>
    </w:p>
    <w:p>
      <w:pPr>
        <w:pStyle w:val="BodyText"/>
      </w:pPr>
      <w:r>
        <w:t>•  Fleet / truck management (own or subcontracted) with GPS-tracking integration.</w:t>
      </w:r>
    </w:p>
    <w:p>
      <w:pPr>
        <w:pStyle w:val="BodyText"/>
      </w:pPr>
      <w:r>
        <w:t>•  Driver management: licences, assignments, trip logs.</w:t>
      </w:r>
    </w:p>
    <w:p>
      <w:pPr>
        <w:pStyle w:val="Heading3"/>
      </w:pPr>
      <w:r>
        <w:t>5. Logistics &amp; Supply Chain Management</w:t>
      </w:r>
    </w:p>
    <w:p>
      <w:pPr>
        <w:pStyle w:val="BodyText"/>
      </w:pPr>
      <w:r>
        <w:t>•  End-to-end supply-chain visibility dashboard.</w:t>
      </w:r>
    </w:p>
    <w:p>
      <w:pPr>
        <w:pStyle w:val="BodyText"/>
      </w:pPr>
      <w:r>
        <w:t>•  Multi-modal shipment planning (air+road, sea+road).</w:t>
      </w:r>
    </w:p>
    <w:p>
      <w:pPr>
        <w:pStyle w:val="BodyText"/>
      </w:pPr>
      <w:r>
        <w:t>•  Inventory / stock-movement tracking across branches.</w:t>
      </w:r>
    </w:p>
    <w:p>
      <w:pPr>
        <w:pStyle w:val="BodyText"/>
      </w:pPr>
      <w:r>
        <w:t>•  Distribution and last-mile delivery scheduling.</w:t>
      </w:r>
    </w:p>
    <w:p>
      <w:pPr>
        <w:pStyle w:val="BodyText"/>
      </w:pPr>
      <w:r>
        <w:t>•  Supplier / vendor management.</w:t>
      </w:r>
    </w:p>
    <w:p>
      <w:pPr>
        <w:pStyle w:val="BodyText"/>
      </w:pPr>
      <w:r>
        <w:t>•  Demand forecasting and planning tools.</w:t>
      </w:r>
    </w:p>
    <w:p>
      <w:pPr>
        <w:pStyle w:val="BodyText"/>
      </w:pPr>
      <w:r>
        <w:t>•  Route and cost optimisation analytics.</w:t>
      </w:r>
    </w:p>
    <w:p>
      <w:pPr>
        <w:pStyle w:val="BodyText"/>
      </w:pPr>
      <w:r>
        <w:t>•  Proof of Delivery (POD) capture: digital signature / photo.</w:t>
      </w:r>
    </w:p>
    <w:p>
      <w:pPr>
        <w:pStyle w:val="Heading3"/>
      </w:pPr>
      <w:r>
        <w:t>6. Export Facilitation</w:t>
      </w:r>
    </w:p>
    <w:p>
      <w:pPr>
        <w:pStyle w:val="BodyText"/>
      </w:pPr>
      <w:r>
        <w:t>•  Export documentation checklist: Commercial Invoice, Packing List, Certificate of Origin, export permits.</w:t>
      </w:r>
    </w:p>
    <w:p>
      <w:pPr>
        <w:pStyle w:val="BodyText"/>
      </w:pPr>
      <w:r>
        <w:t>•  URA export-declaration processing.</w:t>
      </w:r>
    </w:p>
    <w:p>
      <w:pPr>
        <w:pStyle w:val="BodyText"/>
      </w:pPr>
      <w:r>
        <w:t>•  Product-specific export-permit tracking (agriculture, minerals, ...).</w:t>
      </w:r>
    </w:p>
    <w:p>
      <w:pPr>
        <w:pStyle w:val="BodyText"/>
      </w:pPr>
      <w:r>
        <w:t>•  Export market / certification compliance (COMESA, EAC, international standards).</w:t>
      </w:r>
    </w:p>
    <w:p>
      <w:pPr>
        <w:pStyle w:val="BodyText"/>
      </w:pPr>
      <w:r>
        <w:t>•  Pre-shipment inspection scheduling.</w:t>
      </w:r>
    </w:p>
    <w:p>
      <w:pPr>
        <w:pStyle w:val="BodyText"/>
      </w:pPr>
      <w:r>
        <w:t>•  Export incentive / tax-scheme tracking.</w:t>
      </w:r>
    </w:p>
    <w:p>
      <w:pPr>
        <w:pStyle w:val="Heading3"/>
      </w:pPr>
      <w:r>
        <w:t>7. Warehousing Management</w:t>
      </w:r>
    </w:p>
    <w:p>
      <w:pPr>
        <w:pStyle w:val="BodyText"/>
      </w:pPr>
      <w:r>
        <w:t>•  Multi-warehouse / branch inventory management.</w:t>
      </w:r>
    </w:p>
    <w:p>
      <w:pPr>
        <w:pStyle w:val="BodyText"/>
      </w:pPr>
      <w:r>
        <w:t>•  Bonded vs non-bonded warehouse tracking.</w:t>
      </w:r>
    </w:p>
    <w:p>
      <w:pPr>
        <w:pStyle w:val="BodyText"/>
      </w:pPr>
      <w:r>
        <w:t>•  Goods receipt and dispatch notes (GRN / GDN).</w:t>
      </w:r>
    </w:p>
    <w:p>
      <w:pPr>
        <w:pStyle w:val="BodyText"/>
      </w:pPr>
      <w:r>
        <w:t>•  Bin / location management within a warehouse.</w:t>
      </w:r>
    </w:p>
    <w:p>
      <w:pPr>
        <w:pStyle w:val="BodyText"/>
      </w:pPr>
      <w:r>
        <w:t>•  Storage billing per day / CBM / weight.</w:t>
      </w:r>
    </w:p>
    <w:p>
      <w:pPr>
        <w:pStyle w:val="BodyText"/>
      </w:pPr>
      <w:r>
        <w:t>•  Stock-aging and demurrage alerts.</w:t>
      </w:r>
    </w:p>
    <w:p>
      <w:pPr>
        <w:pStyle w:val="BodyText"/>
      </w:pPr>
      <w:r>
        <w:t>•  Barcode / QR-code scanning for goods in and out.</w:t>
      </w:r>
    </w:p>
    <w:p>
      <w:pPr>
        <w:pStyle w:val="BodyText"/>
      </w:pPr>
      <w:r>
        <w:t>•  Cargo condition / damage reporting with photo capture.</w:t>
      </w:r>
    </w:p>
    <w:p>
      <w:pPr>
        <w:pStyle w:val="BodyText"/>
      </w:pPr>
      <w:r>
        <w:t>•  Cold-storage / special-handling flags.</w:t>
      </w:r>
    </w:p>
    <w:p>
      <w:pPr>
        <w:pStyle w:val="Heading3"/>
      </w:pPr>
      <w:r>
        <w:t>8. Multi-Branch &amp; Organizational Management</w:t>
      </w:r>
    </w:p>
    <w:p>
      <w:pPr>
        <w:pStyle w:val="BodyText"/>
      </w:pPr>
      <w:r>
        <w:t>•  Branch / location setup (Kampala HQ, Malaba, Busia, Entebbe Airport, Mutukula, Elegu, ...).</w:t>
      </w:r>
    </w:p>
    <w:p>
      <w:pPr>
        <w:pStyle w:val="BodyText"/>
      </w:pPr>
      <w:r>
        <w:t>•  Role-based access control per branch.</w:t>
      </w:r>
    </w:p>
    <w:p>
      <w:pPr>
        <w:pStyle w:val="BodyText"/>
      </w:pPr>
      <w:r>
        <w:t>•  Inter-branch job handover and tracking.</w:t>
      </w:r>
    </w:p>
    <w:p>
      <w:pPr>
        <w:pStyle w:val="BodyText"/>
      </w:pPr>
      <w:r>
        <w:t>•  Branch-level performance dashboards.</w:t>
      </w:r>
    </w:p>
    <w:p>
      <w:pPr>
        <w:pStyle w:val="BodyText"/>
      </w:pPr>
      <w:r>
        <w:t>•  Centralised reporting with branch-level drill-down.</w:t>
      </w:r>
    </w:p>
    <w:p>
      <w:pPr>
        <w:pStyle w:val="BodyText"/>
      </w:pPr>
      <w:r>
        <w:t>•  Staff management per branch: clearing agents, drivers, warehouse staff.</w:t>
      </w:r>
    </w:p>
    <w:p>
      <w:pPr>
        <w:pStyle w:val="Heading3"/>
      </w:pPr>
      <w:r>
        <w:t>9. Finance &amp; Billing</w:t>
      </w:r>
    </w:p>
    <w:p>
      <w:pPr>
        <w:pStyle w:val="BodyText"/>
      </w:pPr>
      <w:r>
        <w:t>•  Invoicing: per job, consolidated, or recurring.</w:t>
      </w:r>
    </w:p>
    <w:p>
      <w:pPr>
        <w:pStyle w:val="BodyText"/>
      </w:pPr>
      <w:r>
        <w:t>•  Multi-currency support: UGX, USD, KES, EUR.</w:t>
      </w:r>
    </w:p>
    <w:p>
      <w:pPr>
        <w:pStyle w:val="BodyText"/>
      </w:pPr>
      <w:r>
        <w:t>•  Disbursement tracking: money paid to URA, port authorities and transporters on the client's behalf.</w:t>
      </w:r>
    </w:p>
    <w:p>
      <w:pPr>
        <w:pStyle w:val="BodyText"/>
      </w:pPr>
      <w:r>
        <w:t>•  Debit / credit-note management.</w:t>
      </w:r>
    </w:p>
    <w:p>
      <w:pPr>
        <w:pStyle w:val="BodyText"/>
      </w:pPr>
      <w:r>
        <w:t>•  Accounts receivable and payable.</w:t>
      </w:r>
    </w:p>
    <w:p>
      <w:pPr>
        <w:pStyle w:val="BodyText"/>
      </w:pPr>
      <w:r>
        <w:t>•  Payment gateway / mobile money (MTN MoMo, Airtel Money) and bank integration.</w:t>
      </w:r>
    </w:p>
    <w:p>
      <w:pPr>
        <w:pStyle w:val="BodyText"/>
      </w:pPr>
      <w:r>
        <w:t>•  Expense tracking per job file for profitability analysis.</w:t>
      </w:r>
    </w:p>
    <w:p>
      <w:pPr>
        <w:pStyle w:val="BodyText"/>
      </w:pPr>
      <w:r>
        <w:t>•  Integration with accounting systems (QuickBooks, Sage, Tally, or the Group ledger).</w:t>
      </w:r>
    </w:p>
    <w:p>
      <w:pPr>
        <w:pStyle w:val="BodyText"/>
      </w:pPr>
      <w:r>
        <w:t>•  Tax reporting: VAT returns, withholding-tax reports.</w:t>
      </w:r>
    </w:p>
    <w:p>
      <w:pPr>
        <w:pStyle w:val="Heading3"/>
      </w:pPr>
      <w:r>
        <w:t>10. Document Management</w:t>
      </w:r>
    </w:p>
    <w:p>
      <w:pPr>
        <w:pStyle w:val="BodyText"/>
      </w:pPr>
      <w:r>
        <w:t>•  Centralised, searchable digital repository per client and job.</w:t>
      </w:r>
    </w:p>
    <w:p>
      <w:pPr>
        <w:pStyle w:val="BodyText"/>
      </w:pPr>
      <w:r>
        <w:t>•  Document templates: invoices, B/L, AWB, customs forms, delivery notes.</w:t>
      </w:r>
    </w:p>
    <w:p>
      <w:pPr>
        <w:pStyle w:val="BodyText"/>
      </w:pPr>
      <w:r>
        <w:t>•  E-signature support.</w:t>
      </w:r>
    </w:p>
    <w:p>
      <w:pPr>
        <w:pStyle w:val="BodyText"/>
      </w:pPr>
      <w:r>
        <w:t>•  Document-expiry alerts: licences, permits, certificates.</w:t>
      </w:r>
    </w:p>
    <w:p>
      <w:pPr>
        <w:pStyle w:val="BodyText"/>
      </w:pPr>
      <w:r>
        <w:t>•  Version control for amended documents.</w:t>
      </w:r>
    </w:p>
    <w:p>
      <w:pPr>
        <w:pStyle w:val="Heading3"/>
      </w:pPr>
      <w:r>
        <w:t>11. Tracking, Notifications &amp; Communication</w:t>
      </w:r>
    </w:p>
    <w:p>
      <w:pPr>
        <w:pStyle w:val="BodyText"/>
      </w:pPr>
      <w:r>
        <w:t>•  Real-time, client-facing shipment-status tracking.</w:t>
      </w:r>
    </w:p>
    <w:p>
      <w:pPr>
        <w:pStyle w:val="BodyText"/>
      </w:pPr>
      <w:r>
        <w:t>•  Automated SMS / email / WhatsApp alerts at each milestone.</w:t>
      </w:r>
    </w:p>
    <w:p>
      <w:pPr>
        <w:pStyle w:val="BodyText"/>
      </w:pPr>
      <w:r>
        <w:t>•  GPS-based truck / container tracking integration.</w:t>
      </w:r>
    </w:p>
    <w:p>
      <w:pPr>
        <w:pStyle w:val="BodyText"/>
      </w:pPr>
      <w:r>
        <w:t>•  Internal task / reminder notifications for staff: deadlines, demurrage risk, document expiry.</w:t>
      </w:r>
    </w:p>
    <w:p>
      <w:pPr>
        <w:pStyle w:val="Heading3"/>
      </w:pPr>
      <w:r>
        <w:t>12. Reporting &amp; Analytics</w:t>
      </w:r>
    </w:p>
    <w:p>
      <w:pPr>
        <w:pStyle w:val="BodyText"/>
      </w:pPr>
      <w:r>
        <w:t>•  Shipment-volume reports by mode, branch, client, period.</w:t>
      </w:r>
    </w:p>
    <w:p>
      <w:pPr>
        <w:pStyle w:val="BodyText"/>
      </w:pPr>
      <w:r>
        <w:t>•  Revenue and profitability reports per job, branch, service line.</w:t>
      </w:r>
    </w:p>
    <w:p>
      <w:pPr>
        <w:pStyle w:val="BodyText"/>
      </w:pPr>
      <w:r>
        <w:t>•  Customs duty and tax-paid summary reports.</w:t>
      </w:r>
    </w:p>
    <w:p>
      <w:pPr>
        <w:pStyle w:val="BodyText"/>
      </w:pPr>
      <w:r>
        <w:t>•  Turnaround-time (TAT) analytics.</w:t>
      </w:r>
    </w:p>
    <w:p>
      <w:pPr>
        <w:pStyle w:val="BodyText"/>
      </w:pPr>
      <w:r>
        <w:t>•  Client activity / retention reports.</w:t>
      </w:r>
    </w:p>
    <w:p>
      <w:pPr>
        <w:pStyle w:val="BodyText"/>
      </w:pPr>
      <w:r>
        <w:t>•  Regulatory / compliance reports for URA and other bodies.</w:t>
      </w:r>
    </w:p>
    <w:p>
      <w:pPr>
        <w:pStyle w:val="BodyText"/>
      </w:pPr>
      <w:r>
        <w:t>•  KPI dashboard: on-time clearance %, average TAT, revenue per branch.</w:t>
      </w:r>
    </w:p>
    <w:p>
      <w:pPr>
        <w:pStyle w:val="Heading3"/>
      </w:pPr>
      <w:r>
        <w:t>13. Compliance &amp; Risk Management</w:t>
      </w:r>
    </w:p>
    <w:p>
      <w:pPr>
        <w:pStyle w:val="BodyText"/>
      </w:pPr>
      <w:r>
        <w:t>•  Regulatory-compliance checklist per shipment type.</w:t>
      </w:r>
    </w:p>
    <w:p>
      <w:pPr>
        <w:pStyle w:val="BodyText"/>
      </w:pPr>
      <w:r>
        <w:t>•  Risk flagging for high-duty or restricted goods.</w:t>
      </w:r>
    </w:p>
    <w:p>
      <w:pPr>
        <w:pStyle w:val="BodyText"/>
      </w:pPr>
      <w:r>
        <w:t>•  Anti-money-laundering / KYC compliance checks.</w:t>
      </w:r>
    </w:p>
    <w:p>
      <w:pPr>
        <w:pStyle w:val="BodyText"/>
      </w:pPr>
      <w:r>
        <w:t>•  Audit logs for all system actions.</w:t>
      </w:r>
    </w:p>
    <w:p>
      <w:pPr>
        <w:pStyle w:val="BodyText"/>
      </w:pPr>
      <w:r>
        <w:t>•  Data backup and disaster recovery.</w:t>
      </w:r>
    </w:p>
    <w:p>
      <w:pPr>
        <w:pStyle w:val="Heading3"/>
      </w:pPr>
      <w:r>
        <w:t>14. Integrations</w:t>
      </w:r>
    </w:p>
    <w:p>
      <w:pPr>
        <w:pStyle w:val="BodyText"/>
      </w:pPr>
      <w:r>
        <w:t>•  URA ASYCUDA World / Uganda Single Window.</w:t>
      </w:r>
    </w:p>
    <w:p>
      <w:pPr>
        <w:pStyle w:val="BodyText"/>
      </w:pPr>
      <w:r>
        <w:t>•  URA e-Tax portal.</w:t>
      </w:r>
    </w:p>
    <w:p>
      <w:pPr>
        <w:pStyle w:val="BodyText"/>
      </w:pPr>
      <w:r>
        <w:t>•  Shipping-line / airline booking APIs.</w:t>
      </w:r>
    </w:p>
    <w:p>
      <w:pPr>
        <w:pStyle w:val="BodyText"/>
      </w:pPr>
      <w:r>
        <w:t>•  Bank and mobile-money payment APIs.</w:t>
      </w:r>
    </w:p>
    <w:p>
      <w:pPr>
        <w:pStyle w:val="BodyText"/>
      </w:pPr>
      <w:r>
        <w:t>•  GPS / fleet-tracking devices.</w:t>
      </w:r>
    </w:p>
    <w:p>
      <w:pPr>
        <w:pStyle w:val="BodyText"/>
      </w:pPr>
      <w:r>
        <w:t>•  Accounting software.</w:t>
      </w:r>
    </w:p>
    <w:p>
      <w:pPr>
        <w:pStyle w:val="BodyText"/>
      </w:pPr>
      <w:r>
        <w:t>•  Google Maps / route-mapping APIs.</w:t>
      </w:r>
    </w:p>
    <w:p>
      <w:pPr>
        <w:pStyle w:val="Heading3"/>
      </w:pPr>
      <w:r>
        <w:t>15. Mobile Application</w:t>
      </w:r>
    </w:p>
    <w:p>
      <w:pPr>
        <w:pStyle w:val="BodyText"/>
      </w:pPr>
      <w:r>
        <w:t>•  Client app: track shipments, view invoices, request quotes.</w:t>
      </w:r>
    </w:p>
    <w:p>
      <w:pPr>
        <w:pStyle w:val="BodyText"/>
      </w:pPr>
      <w:r>
        <w:t>•  Field-staff / driver app: POD capture, trip updates, document scanning.</w:t>
      </w:r>
    </w:p>
    <w:p>
      <w:pPr>
        <w:pStyle w:val="BodyText"/>
      </w:pPr>
      <w:r>
        <w:t>•  Offline mode with sync for border towns with poor connectivity.</w:t>
      </w:r>
    </w:p>
    <w:p>
      <w:pPr>
        <w:pStyle w:val="Heading3"/>
      </w:pPr>
      <w:r>
        <w:t>16. Administration &amp; Security</w:t>
      </w:r>
    </w:p>
    <w:p>
      <w:pPr>
        <w:pStyle w:val="BodyText"/>
      </w:pPr>
      <w:r>
        <w:t>•  Role-based user permissions: admin, branch manager, agent, accountant, driver.</w:t>
      </w:r>
    </w:p>
    <w:p>
      <w:pPr>
        <w:pStyle w:val="BodyText"/>
      </w:pPr>
      <w:r>
        <w:t>•  Two-factor authentication.</w:t>
      </w:r>
    </w:p>
    <w:p>
      <w:pPr>
        <w:pStyle w:val="BodyText"/>
      </w:pPr>
      <w:r>
        <w:t>•  Activity / audit logs.</w:t>
      </w:r>
    </w:p>
    <w:p>
      <w:pPr>
        <w:pStyle w:val="BodyText"/>
      </w:pPr>
      <w:r>
        <w:t>•  Data encryption in transit and at rest.</w:t>
      </w:r>
    </w:p>
    <w:p>
      <w:pPr>
        <w:pStyle w:val="BodyText"/>
      </w:pPr>
      <w:r>
        <w:t>•  System configuration: tax rates, levy percentages, currency rates — editable as URA rates change.</w:t>
      </w:r>
    </w:p>
    <w:p>
      <w:pPr>
        <w:pStyle w:val="Heading2"/>
      </w:pPr>
      <w:r>
        <w:t>3. Requirements Derived from the Client FAQ</w:t>
      </w:r>
    </w:p>
    <w:p>
      <w:pPr>
        <w:pStyle w:val="BodyText"/>
      </w:pPr>
      <w:r>
        <w:t>The subsidiary's public FAQ already implies concrete system features that must be supported directly:</w:t>
      </w:r>
    </w:p>
    <w:p>
      <w:pPr>
        <w:pStyle w:val="BodyText"/>
      </w:pPr>
      <w:r>
        <w:t>•  Duty / tax calculator reflecting the exact levies: Withholding Tax 6%, Infrastructure Levy 1.5%, Import Declaration Fee 1%, plus Excise Duty and Environmental Levy where applicable.</w:t>
      </w:r>
    </w:p>
    <w:p>
      <w:pPr>
        <w:pStyle w:val="BodyText"/>
      </w:pPr>
      <w:r>
        <w:t>•  Turnaround-time estimator, e.g. Mombasa-Kampala: port release 2-3 days, customs clearance 2-4 days, inland transport ~2 days = roughly 7-10 working days total.</w:t>
      </w:r>
    </w:p>
    <w:p>
      <w:pPr>
        <w:pStyle w:val="BodyText"/>
      </w:pPr>
      <w:r>
        <w:t>•  Documentation-checklist module: Commercial Invoice, Bill of Lading / AWB, TIN, Packing List, ASYCUDA declaration, inspection certificates / PVOC, Certificate of Origin.</w:t>
      </w:r>
    </w:p>
    <w:p>
      <w:pPr>
        <w:pStyle w:val="BodyText"/>
      </w:pPr>
      <w:r>
        <w:t>•  Client-facing “how to choose an agent” content (transparency, tracking, network) drives portal features: transparent fee breakdowns and proactive communication at every milestone.</w:t>
      </w:r>
    </w:p>
    <w:p>
      <w:pPr>
        <w:pStyle w:val="Heading2"/>
      </w:pPr>
      <w:r>
        <w:t>4. Organisation as Built (in MBMS today)</w:t>
      </w:r>
    </w:p>
    <w:p>
      <w:pPr>
        <w:pStyle w:val="BodyText"/>
      </w:pPr>
      <w:r>
        <w:t>The following are real records in MBMS now, created and managed by the Managing Director under the subsidiary-lifecycle capability (view / create / update / delete / activate).</w:t>
      </w:r>
    </w:p>
    <w:p>
      <w:pPr>
        <w:pStyle w:val="Heading3"/>
      </w:pPr>
      <w:r>
        <w:t>4.1 Company</w:t>
      </w:r>
    </w:p>
    <w:p>
      <w:pPr>
        <w:pStyle w:val="BodyText"/>
      </w:pPr>
      <w:r>
        <w:t>•  Morise Clearing &amp; Forwarding Ltd — wholly-owned (100%) subsidiary of Morise Holdings Limited, UGX, FY starting 1 January.</w:t>
      </w:r>
    </w:p>
    <w:p>
      <w:pPr>
        <w:pStyle w:val="Heading3"/>
      </w:pPr>
      <w:r>
        <w:t>4.2 Branches</w:t>
      </w:r>
    </w:p>
    <w:p>
      <w:pPr>
        <w:pStyle w:val="BodyText"/>
      </w:pPr>
      <w:r>
        <w:t>•  Kampala HQ</w:t>
      </w:r>
    </w:p>
    <w:p>
      <w:pPr>
        <w:pStyle w:val="BodyText"/>
      </w:pPr>
      <w:r>
        <w:t>•  Malaba Border Office</w:t>
      </w:r>
    </w:p>
    <w:p>
      <w:pPr>
        <w:pStyle w:val="BodyText"/>
      </w:pPr>
      <w:r>
        <w:t>•  Busia Border Office</w:t>
      </w:r>
    </w:p>
    <w:p>
      <w:pPr>
        <w:pStyle w:val="BodyText"/>
      </w:pPr>
      <w:r>
        <w:t>•  Entebbe Airport Office</w:t>
      </w:r>
    </w:p>
    <w:p>
      <w:pPr>
        <w:pStyle w:val="BodyText"/>
      </w:pPr>
      <w:r>
        <w:t>•  Mutukula Border Office</w:t>
      </w:r>
    </w:p>
    <w:p>
      <w:pPr>
        <w:pStyle w:val="BodyText"/>
      </w:pPr>
      <w:r>
        <w:t>•  Elegu Border Office</w:t>
      </w:r>
    </w:p>
    <w:p>
      <w:pPr>
        <w:pStyle w:val="Heading3"/>
      </w:pPr>
      <w:r>
        <w:t>4.3 Departments</w:t>
      </w:r>
    </w:p>
    <w:p>
      <w:pPr>
        <w:pStyle w:val="BodyText"/>
      </w:pPr>
      <w:r>
        <w:t>•  Customs Clearance</w:t>
      </w:r>
    </w:p>
    <w:p>
      <w:pPr>
        <w:pStyle w:val="BodyText"/>
      </w:pPr>
      <w:r>
        <w:t>•  Freight Forwarding</w:t>
      </w:r>
    </w:p>
    <w:p>
      <w:pPr>
        <w:pStyle w:val="BodyText"/>
      </w:pPr>
      <w:r>
        <w:t>•  Warehousing</w:t>
      </w:r>
    </w:p>
    <w:p>
      <w:pPr>
        <w:pStyle w:val="BodyText"/>
      </w:pPr>
      <w:r>
        <w:t>•  Logistics &amp; Supply Chain</w:t>
      </w:r>
    </w:p>
    <w:p>
      <w:pPr>
        <w:pStyle w:val="BodyText"/>
      </w:pPr>
      <w:r>
        <w:t>•  Export Facilitation</w:t>
      </w:r>
    </w:p>
    <w:p>
      <w:pPr>
        <w:pStyle w:val="BodyText"/>
      </w:pPr>
      <w:r>
        <w:t>•  Fleet Management</w:t>
      </w:r>
    </w:p>
    <w:p>
      <w:pPr>
        <w:pStyle w:val="BodyText"/>
      </w:pPr>
      <w:r>
        <w:t>•  Client Services</w:t>
      </w:r>
    </w:p>
    <w:p>
      <w:pPr>
        <w:pStyle w:val="BodyText"/>
      </w:pPr>
      <w:r>
        <w:t>•  Finance &amp; Billing</w:t>
      </w:r>
    </w:p>
    <w:p>
      <w:pPr>
        <w:pStyle w:val="Heading3"/>
      </w:pPr>
      <w:r>
        <w:t>4.4 Starter Policies</w:t>
      </w:r>
    </w:p>
    <w:p>
      <w:pPr>
        <w:pStyle w:val="BodyText"/>
      </w:pPr>
      <w:r>
        <w:t>•  KYC Documentation Requirement</w:t>
      </w:r>
    </w:p>
    <w:p>
      <w:pPr>
        <w:pStyle w:val="BodyText"/>
      </w:pPr>
      <w:r>
        <w:t>•  Disbursement Pre-funding Threshold</w:t>
      </w:r>
    </w:p>
    <w:p>
      <w:pPr>
        <w:pStyle w:val="BodyText"/>
      </w:pPr>
      <w:r>
        <w:t>•  Demurrage &amp; Detention Escalation</w:t>
      </w:r>
    </w:p>
    <w:p>
      <w:pPr>
        <w:pStyle w:val="BodyText"/>
      </w:pPr>
      <w:r>
        <w:t>•  Tax &amp; Levy Rate Configuration</w:t>
      </w:r>
    </w:p>
    <w:p>
      <w:pPr>
        <w:pStyle w:val="Heading2"/>
      </w:pPr>
      <w:r>
        <w:t>5. Delivery Roadmap (Phased Backlog)</w:t>
      </w:r>
    </w:p>
    <w:p>
      <w:pPr>
        <w:pStyle w:val="Heading3"/>
      </w:pPr>
      <w:r>
        <w:t>Phase A — Foundation</w:t>
      </w:r>
    </w:p>
    <w:p>
      <w:pPr>
        <w:pStyle w:val="BodyText"/>
      </w:pPr>
      <w:r>
        <w:t>Organisation setup (done — company, branches, departments, policies seeded), user &amp; role model per branch, client &amp; CRM management (Module 1), job-file management (Module 2), document repository (Module 10, core).</w:t>
      </w:r>
    </w:p>
    <w:p>
      <w:pPr>
        <w:pStyle w:val="Heading3"/>
      </w:pPr>
      <w:r>
        <w:t>Phase B — Core operations</w:t>
      </w:r>
    </w:p>
    <w:p>
      <w:pPr>
        <w:pStyle w:val="BodyText"/>
      </w:pPr>
      <w:r>
        <w:t>Freight forwarding (Module 4), warehousing (Module 7), finance &amp; billing (Module 9), tracking &amp; notifications (Module 11).</w:t>
      </w:r>
    </w:p>
    <w:p>
      <w:pPr>
        <w:pStyle w:val="Heading3"/>
      </w:pPr>
      <w:r>
        <w:t>Phase C — Customs &amp; compliance</w:t>
      </w:r>
    </w:p>
    <w:p>
      <w:pPr>
        <w:pStyle w:val="BodyText"/>
      </w:pPr>
      <w:r>
        <w:t>Customs clearance and the duty/tax engine (Module 3), export facilitation (Module 6), compliance &amp; risk (Module 13), reporting &amp; analytics (Module 12).</w:t>
      </w:r>
    </w:p>
    <w:p>
      <w:pPr>
        <w:pStyle w:val="Heading3"/>
      </w:pPr>
      <w:r>
        <w:t>Phase D — Integrations &amp; mobile</w:t>
      </w:r>
    </w:p>
    <w:p>
      <w:pPr>
        <w:pStyle w:val="BodyText"/>
      </w:pPr>
      <w:r>
        <w:t>ASYCUDA / Single Window, e-Tax, carrier, payment, GPS and accounting integrations (Module 14); client and field-staff mobile apps with offline sync (Module 15).</w:t>
      </w:r>
    </w:p>
    <w:p>
      <w:pPr>
        <w:pStyle w:val="Heading3"/>
      </w:pPr>
      <w:r>
        <w:t>Cross-cutting</w:t>
      </w:r>
    </w:p>
    <w:p>
      <w:pPr>
        <w:pStyle w:val="BodyText"/>
      </w:pPr>
      <w:r>
        <w:t>Administration &amp; security (Module 16) and multi-branch organisational management (Module 8) are delivered incrementally alongside every phase.</w:t>
      </w:r>
    </w:p>
    <w:p>
      <w:pPr>
        <w:pStyle w:val="Heading2"/>
      </w:pPr>
      <w:r>
        <w:t>6. Relationship to the Existing MBMS Platform</w:t>
      </w:r>
    </w:p>
    <w:p>
      <w:pPr>
        <w:pStyle w:val="BodyText"/>
      </w:pPr>
      <w:r>
        <w:t>Where the platform already has a capability, the subsidiary's system reuses it rather than rebuilding: identity, roles and per-branch scope (Identity Service); company / branch / department / policy management (Organization Service); customers, suppliers, products, the general ledger, accounts receivable / payable and expenses (the finance and operations modules); the audit trail; and notifications. New, clearing-and-forwarding-specific domains — job files, customs declarations and the duty engine, freight bookings and rates, transit documents, warehousing (GRN/GDN, bin management), fleet and driver management, and the client portal for quotes and tracking — are the net-new build described in Section 2.</w:t>
      </w:r>
    </w:p>
    <w:p>
      <w:pPr>
        <w:pStyle w:val="Heading2"/>
      </w:pPr>
      <w:r>
        <w:t>7. Approval</w:t>
      </w:r>
    </w:p>
    <w:p>
      <w:pPr>
        <w:pStyle w:val="BodyText"/>
      </w:pPr>
      <w:r>
        <w:t>This specification is approved as the basis for the Clearing, Forwarding &amp; Logistics System backlog. Scope, sequencing and integration priorities are subject to the same change-control process as the rest of the MBMS documentation set.</w:t>
      </w:r>
    </w:p>
    <w:p>
      <w:pPr>
        <w:pStyle w:val="Heading2"/>
      </w:pPr>
      <w:r>
        <w:t>Addendum (29 August 2026) — Platform API Documentation</w:t>
      </w:r>
    </w:p>
    <w:p>
      <w:pPr>
        <w:pStyle w:val="BodyText"/>
      </w:pPr>
      <w:r>
        <w:t>The existing MBMS platform backend now publishes a generated OpenAPI 3 / Swagger contract at GET /api/v1/docs (interactive) and GET /api/v1/docs-json (raw), with a committed snapshot at backend/openapi.json. Where this system reuses a platform capability (identity, roles, per-branch scope, accounting), that surface is now self-documenting; any endpoints this system adds should be documented the same way (@nestjs/swagger, built with nest build).</w:t>
      </w:r>
    </w:p>
    <w:p>
      <w:pPr>
        <w:pStyle w:val="Heading2"/>
      </w:pPr>
      <w:r>
        <w:t>Addendum (29 August 2026) — Group Public Site</w:t>
      </w:r>
    </w:p>
    <w:p>
      <w:pPr>
        <w:pStyle w:val="BodyText"/>
      </w:pPr>
      <w:r>
        <w:t>The MBMS Customer Storefront now presents a public, pre-login holding-company mini-site (landing page, Companies directory, Profile, Group Leadership, Group Overview, News, Contacts), served in part by a new public endpoint GET /api/v1/customer-portal/public/overview that returns the holding company, its subsidiaries and roll-up group figures. This subsidiary appears there as one of the group’s operating companies. No change to this specification’s scope.</w:t>
      </w:r>
    </w:p>
    <w:p>
      <w:pPr>
        <w:pStyle w:val="Heading2"/>
      </w:pPr>
      <w:r>
        <w:t>Addendum (29 August 2026) — Corporate Pages Restyled</w:t>
      </w:r>
    </w:p>
    <w:p>
      <w:pPr>
        <w:pStyle w:val="BodyText"/>
      </w:pPr>
      <w:r>
        <w:t>The public corporate pages of the MBMS Customer Storefront (added in the Group Public Site addendum above) have been restyled to match the storefront’s own look — system fonts and the navy / white / amber palette. Presentation-only; no change to any interface this specification depends on.</w:t>
      </w:r>
    </w:p>
    <w:p>
      <w:pPr>
        <w:pStyle w:val="Heading2"/>
      </w:pPr>
      <w:r>
        <w:t>Addendum (29 August 2026) — Content Pages Restyled</w:t>
      </w:r>
    </w:p>
    <w:p>
      <w:pPr>
        <w:pStyle w:val="BodyText"/>
      </w:pPr>
      <w:r>
        <w:t>The MBMS Customer Storefront’s public CMS content pages (/page/:slug — About, Terms, Delivery) now render inside the same shell and styling as the rest of the pre-login corporate site. Presentation-only; no change to any interface this specification depends on.</w:t>
      </w:r>
    </w:p>
    <w:p>
      <w:pPr>
        <w:pStyle w:val="Heading2"/>
      </w:pPr>
      <w:r>
        <w:t>Addendum (29 August 2026) — Social Media Channels</w:t>
      </w:r>
    </w:p>
    <w:p>
      <w:pPr>
        <w:pStyle w:val="BodyText"/>
      </w:pPr>
      <w:r>
        <w:t>The MBMS platform now lets an administrator manage the group’s social media channels in Admin » CMS / Site Builder (new social_links table; CRUD under /api/v1/cms/social-links; public read GET /api/v1/customer-portal/public/social-links) and shows them in the storefront footer. Where this subsidiary’s system reuses the platform, the same social channels apply. No change to this specification’s scope.</w:t>
      </w:r>
    </w:p>
    <w:p>
      <w:pPr>
        <w:pStyle w:val="Heading2"/>
      </w:pPr>
      <w:r>
        <w:t>Addendum (29 August 2026) — Landing-page FAQ &amp; Newsletter</w:t>
      </w:r>
    </w:p>
    <w:p>
      <w:pPr>
        <w:pStyle w:val="BodyText"/>
      </w:pPr>
      <w:r>
        <w:t>The MBMS corporate landing page now carries an administrator-managed FAQ section and a public newsletter sign-up (new tables faq_items and newsletter_subscribers; CRUD under /api/v1/cms/faqs and /api/v1/cms/newsletter-subscribers; public GET /api/v1/customer-portal/public/faqs and rate-limited POST /api/v1/customer-portal/public/newsletter). No change to this specification’s scope.</w:t>
      </w:r>
    </w:p>
    <w:p>
      <w:pPr>
        <w:pStyle w:val="Heading2"/>
      </w:pPr>
      <w:r>
        <w:t>Addendum (30 August 2026) — Content Localisation Completed</w:t>
      </w:r>
    </w:p>
    <w:p>
      <w:pPr>
        <w:pStyle w:val="BodyText"/>
      </w:pPr>
      <w:r>
        <w:t>The MBMS Customer Storefront now applies its “read in the customer’s language, store the customer’s input in English” rule to order history and payments as well (orders.cancellation_reason_original / cancellation_source_language; order reads honour Accept-Language; payment reference digits normalised). Staff always read and write English. No change to this specification’s scope.</w:t>
      </w:r>
    </w:p>
    <w:p>
      <w:pPr>
        <w:pStyle w:val="Heading2"/>
      </w:pPr>
      <w:r>
        <w:t>Addendum (30 August 2026) — Content Localisation Final Edges</w:t>
      </w:r>
    </w:p>
    <w:p>
      <w:pPr>
        <w:pStyle w:val="BodyText"/>
      </w:pPr>
      <w:r>
        <w:t>The MBMS Customer Storefront’s content-localisation rule now also covers the Home dashboard’s recent-orders widget, the account statement (rows and PDFs) and the matching of a customer-typed discount code. Non-Latin-script PDF labels stay English pending font embedding. Staff always read and write English. No change to this specification’s scope.</w:t>
      </w:r>
    </w:p>
    <w:p>
      <w:pPr>
        <w:pStyle w:val="Heading2"/>
      </w:pPr>
      <w:r>
        <w:t>Addendum (30 August 2026) — Collateral Management Subsidiary (Doc 21)</w:t>
      </w:r>
    </w:p>
    <w:p>
      <w:pPr>
        <w:pStyle w:val="BodyText"/>
      </w:pPr>
      <w:r>
        <w:t>A third specification-stage subsidiary has been added: Morise Collateral Management Ltd (collateral management agent), seeded with 6 sites, 9 departments and 6 starter policies, with its Multi-Site Collateral Management System specified in the new doc 21 — the same pattern this document follows. Nothing of that system is built.</w:t>
      </w:r>
    </w:p>
    <w:p>
      <w:pPr>
        <w:pStyle w:val="Heading2"/>
      </w:pPr>
      <w:r>
        <w:t>Addendum (30 August 2026) — Full-page Disclaimer Gate</w:t>
      </w:r>
    </w:p>
    <w:p>
      <w:pPr>
        <w:pStyle w:val="BodyText"/>
      </w:pPr>
      <w:r>
        <w:t>The MBMS Customer Storefront now shows the demonstration disclaimer as a full-page gate (10-second hold + “I Understand, Continue”) before the landing page, with its statements managed by admin staff (new table disclaimer_items; CRUD under /api/v1/cms/disclaimer-items; public GET /api/v1/customer-portal/public/disclaimer). No change to this specification’s scope.</w:t>
      </w:r>
    </w:p>
    <w:p>
      <w:pPr>
        <w:pStyle w:val="Heading2"/>
      </w:pPr>
      <w:r>
        <w:t>Addendum (30 August 2026) — Pre-login Pages Localised</w:t>
      </w:r>
    </w:p>
    <w:p>
      <w:pPr>
        <w:pStyle w:val="BodyText"/>
      </w:pPr>
      <w:r>
        <w:t>The MBMS Customer Storefront’s pre-login corporate surface (the full-page disclaimer gate, the landing page and the corporate mini-site) now renders in the language the visitor chooses or their browser indicates: the UI strings are translated into eight languages and the seeded disclaimer statements are translated on read (Arabic right-to-left). No change to this specification’s scope.</w:t>
      </w:r>
    </w:p>
    <w:p>
      <w:pPr>
        <w:pStyle w:val="Heading2"/>
      </w:pPr>
      <w:r>
        <w:t>Addendum (30 August 2026) — Collateral Management Services Catalogue</w:t>
      </w:r>
    </w:p>
    <w:p>
      <w:pPr>
        <w:pStyle w:val="BodyText"/>
      </w:pPr>
      <w:r>
        <w:t>Morise Collateral Management Ltd (see the Collateral Management Subsidiary addendum above) now offers ten priced services in the group storefront, drawn from the client’s Collateral-Management-Company-Services-Catalog.docx and detailed in docx/21’s “Services Catalogue Seeded into the Storefront” addendum. Seed data only; the underlying Collateral Management System is still a future-phase backlog.</w:t>
      </w:r>
    </w:p>
    <w:p>
      <w:pPr>
        <w:pStyle w:val="Heading2"/>
      </w:pPr>
      <w:r>
        <w:t>Addendum (30 August 2026) — Managing Director Full Authority</w:t>
      </w:r>
    </w:p>
    <w:p>
      <w:pPr>
        <w:pStyle w:val="BodyText"/>
      </w:pPr>
      <w:r>
        <w:t>The MBMS platform's Managing Director role now holds the full permission catalogue (operate on every section of the four Admin categories — create, edit, approve, execute), and sixteen admin screens' in-page controls were made permission-aware. Where this system reuses the platform's identity and RBAC, the same applies. No new permission, endpoint or schema.</w:t>
      </w:r>
    </w:p>
    <w:p>
      <w:pPr>
        <w:pStyle w:val="Heading2"/>
      </w:pPr>
      <w:r>
        <w:t>Addendum (31 August 2026) — Morise Brand Mark</w:t>
      </w:r>
    </w:p>
    <w:p>
      <w:pPr>
        <w:pStyle w:val="BodyText"/>
      </w:pPr>
      <w:r>
        <w:t>The MBMS platform now ships a defined Morise brand mark — a monoline “M” with an amber apex diamond (navy #1E3A5F / amber #D97706) — as SVG assets and a brand sheet under brand/ and a shared Logo React component used across the Admin and Storefront apps in place of the former placeholder letter. This system inherits the same identity. Front-end assets only; no new permission, endpoint or schema.</w:t>
      </w:r>
    </w:p>
    <w:p>
      <w:pPr>
        <w:pStyle w:val="Heading2"/>
      </w:pPr>
      <w:r>
        <w:t>Addendum (31 August 2026) — Morise Banner Family</w:t>
      </w:r>
    </w:p>
    <w:p>
      <w:pPr>
        <w:pStyle w:val="BodyText"/>
      </w:pPr>
      <w:r>
        <w:t>The MBMS platform now ships a full Morise banner family — group hero, interior header, social card, email header, storefront promo strip, announcement ribbon, sign-in panel and one banner per subsidiary (including this one) — as standalone SVG assets under brand/banners/ on the logo’s visual language, wired into the storefront / corporate heroes and social-share meta tags. Front-end assets + minor CSS + curated text-only promo banners in seed data; no new permission, endpoint or schema.</w:t>
      </w:r>
    </w:p>
    <w:p>
      <w:pPr>
        <w:pStyle w:val="Heading2"/>
      </w:pPr>
      <w:r>
        <w:t>Addendum (31 August 2026) — Banners Displayed on the Storefront</w:t>
      </w:r>
    </w:p>
    <w:p>
      <w:pPr>
        <w:pStyle w:val="BodyText"/>
      </w:pPr>
      <w:r>
        <w:t>The Morise banner family is now displayed across the customer storefront — the landing-page Companies grid, the Companies directory, each portfolio-company page, the subsidiary directory and the shop — each subsidiary showing its own brand/banners/subsidiary-*.svg (this one included). Storefront front-end only (a bannerFor() helper + &lt;img&gt; banners + CSS); no new permission, endpoint or schema.</w:t>
      </w:r>
    </w:p>
    <w:p>
      <w:pPr>
        <w:pStyle w:val="Heading2"/>
      </w:pPr>
      <w:r>
        <w:t>Addendum (31 August 2026) — Delivery Management System (Doc 22)</w:t>
      </w:r>
    </w:p>
    <w:p>
      <w:pPr>
        <w:pStyle w:val="BodyText"/>
      </w:pPr>
      <w:r>
        <w:t>A fourth subsidiary-system specification has been added: docx/22_Delivery Management System — Feature Specification, owning entity Morise Logistics Ltd. It covers the door-to-door delivery of goods, services and invoices to customers who have ordered through the group Customer Storefront — a customer delivery experience, a driver / courier app, a dispatch &amp; operations console, route optimisation, proof of delivery, and document / invoice delivery. A Phase 1 back end is already implemented in MBMS (migration 20260831120000_delivery; the src/delivery/ module; a staff /api/v1/delivery API and a customer order-tracking read; scoped and audited; completing a goods delivery advances its order to “delivered”) but is not yet wired for use — the delivery.manage / delivery.viewAll permissions are not seeded, and there is no UI or seed data. It restates the client's Delivery-Software-Feature-Specification.docx in this house format; the wider platform remains future scope.</w:t>
      </w:r>
    </w:p>
    <w:p>
      <w:pPr>
        <w:pStyle w:val="Heading2"/>
      </w:pPr>
      <w:r>
        <w:t>Addendum (31 August 2026) — Stamped Invoice on Acknowledged Delivery (Doc 22)</w:t>
      </w:r>
    </w:p>
    <w:p>
      <w:pPr>
        <w:pStyle w:val="BodyText"/>
      </w:pPr>
      <w:r>
        <w:t>Doc 22 gains an addendum: once a Morise Logistics Ltd delivery is completed and the customer acknowledges receipt in good condition (a new storefront confirmation step), MBMS automatically issues a Morise-stamped invoice for the order — the existing per-order invoice moved to an issued / stamped state with a branded PDF bearing the Morise brand mark as a seal plus the delivery and acknowledgement details. A damaged, incomplete or not-received acknowledgement issues no stamp and opens a delivery exception. Specification only — it depends on the Delivery Management System back end (doc 22 Section 8.5), which is switched off; no code, schema, endpoint or permission change.</w:t>
      </w:r>
    </w:p>
    <w:p>
      <w:pPr>
        <w:pStyle w:val="Heading2"/>
      </w:pPr>
      <w:r>
        <w:t>Addendum (31 August 2026) — Assigning a Delivery Persona to an Order (Doc 22)</w:t>
      </w:r>
    </w:p>
    <w:p>
      <w:pPr>
        <w:pStyle w:val="BodyText"/>
      </w:pPr>
      <w:r>
        <w:t>Doc 22 gains an addendum recording the admin assignment workflow: a dispatcher (delivery.manage) reviews orders that can be handed to Morise Logistics Ltd (GET /api/v1/delivery/eligible-orders), creates a delivery for one, and assigns a delivery persona from Morise Logistics Ltd's driver pool — on create or via POST /api/v1/delivery/:id/assign — with an inactive or wrong-company persona and a terminal delivery rejected, and the assignment audited. These endpoints and the delivery_drivers model are already in the Phase 1 back end (doc 22 Section 8.5) but switched off: the delivery.* permissions are not seeded and there is no dispatch screen. No code, schema, endpoint or permission change.</w:t>
      </w:r>
    </w:p>
    <w:p>
      <w:pPr>
        <w:pStyle w:val="Heading2"/>
      </w:pPr>
      <w:r>
        <w:t>Addendum (31 August 2026) — Delivery Module Activated (Doc 22)</w:t>
      </w:r>
    </w:p>
    <w:p>
      <w:pPr>
        <w:pStyle w:val="BodyText"/>
      </w:pPr>
      <w:r>
        <w:t>The delivery.manage / delivery.viewAll permission codes are now in the seed permission catalogue and granted (delivery.manage + delivery.viewAll to Super Administrator, Managing Director, IT Administrator and Operations Manager; delivery.manage (own company scope) to Branch Manager; delivery.viewAll to Group CEO, Auditor, External Auditor, Board Member and Read-only User), so the /api/v1/delivery dispatch API — including assigning a Morise Logistics Ltd delivery persona to a customer's order — is reachable and was verified end to end. This supersedes the “switched off” note in the earlier delivery, stamped-invoice and persona-assignment addenda. Seed data + grants only; no schema, endpoint or migration change. Still pending: seeded delivery personas, an Admin dispatch screen, and an openapi.json regeneration.</w:t>
      </w:r>
    </w:p>
    <w:p>
      <w:pPr>
        <w:pStyle w:val="Heading2"/>
      </w:pPr>
      <w:r>
        <w:t>Addendum (31 August 2026) — Storefront Wording: Services Catalog / Add to Invoice / Invoice</w:t>
      </w:r>
    </w:p>
    <w:p>
      <w:pPr>
        <w:pStyle w:val="BodyText"/>
      </w:pPr>
      <w:r>
        <w:t>The Customer Storefront's shopping vocabulary was changed on an administrator's request: “Product Catalog” — “Services Catalog”, “Add to Cart” — “Add to Invoice”, “Cart” — “Invoice”, across en.js and the ten translated language tables (header icon 🛒 — 🧾). Front-end strings only — no route, component, API, schema or permission change.</w:t>
      </w:r>
    </w:p>
    <w:p>
      <w:pPr>
        <w:pStyle w:val="Heading2"/>
      </w:pPr>
      <w:r>
        <w:t>Addendum (1 September 2026) — Payroll Management Feature Specification</w:t>
      </w:r>
    </w:p>
    <w:p>
      <w:pPr>
        <w:pStyle w:val="BodyText"/>
      </w:pPr>
      <w:r>
        <w:t>A Payroll Management feature specification has been recorded for the group: a multi-subsidiary payroll system covering salary structures (basic, allowances, overtime, bonuses, commissions), deductions (loans, advances, taxes, statutory, pension), approval, payslip generation, bank payment schedules, payroll history, and department / company / consolidated group payroll reports. The core is already built in MBMS (monthly runs per subsidiary, Uganda PAYE + NSSF, salary advances, approval, GL posting, group-wide visibility); the salary-structure components, loans, voluntary pension, payslip PDF, bank schedules and the reporting suite are backlog. Specification only — no code, schema, endpoint or permission change; each Morise subsidiary's own payroll runs in this same module.</w:t>
      </w:r>
    </w:p>
    <w:p>
      <w:pPr>
        <w:pStyle w:val="Heading2"/>
      </w:pPr>
      <w:r>
        <w:t>Addendum (1 September 2026) — Payroll: Salary Structures, Allowances, Overtime &amp; Bonuses</w:t>
      </w:r>
    </w:p>
    <w:p>
      <w:pPr>
        <w:pStyle w:val="BodyText"/>
      </w:pPr>
      <w:r>
        <w:t>The first slice of the Payroll Management backlog is built: an employee's monthly pay is now built up from a salary structure of components (basic + allowances, plus one-off overtime / bonus lines) instead of a single gross figure; a payroll run derives gross from the applicable components (Employee.grossSalary is the fallback) and each payslip carries the breakdown. New salary_components / payslip_components tables (migration 20260901120000_salary_structures), /api/v1/payroll/salary-components + /salary-structure endpoints under the existing payroll.manage / payroll.viewAll, and a Salary structures tab on the Admin Payroll screen. PAYE / NSSF and GL posting unchanged. Commissions, deductions, loans, a voluntary pension, a payslip PDF, bank schedules and the reporting suite remain backlog. Each Morise subsidiary's payroll uses this same module.</w:t>
      </w:r>
    </w:p>
    <w:p>
      <w:pPr>
        <w:pStyle w:val="Heading2"/>
      </w:pPr>
      <w:r>
        <w:t>Addendum (1 September 2026) — Accounting &amp; Finance Feature Section</w:t>
      </w:r>
    </w:p>
    <w:p>
      <w:pPr>
        <w:pStyle w:val="BodyText"/>
      </w:pPr>
      <w:r>
        <w:t>A “7. Accounting and Finance” section has been recorded for the group: the financial module (General Ledger, Accounts Receivable, Accounts Payable, Financial Statements) as a core component. It is already built in MBMS (Sprint 10 Full Accounting + the 19 August 2026 Financial Module Deepening) — chart of accounts, journals with a draft → posted lifecycle and adjusting / closing types, financial periods, account reconciliation, recurring journals; AR credit / debit notes, payments, aging, statements and reminders; the AP supplier-invoice approval workflow, payments, notes, statements, aging and payment schedules; and the nine financial statements (P&amp;L, Balance Sheet, Cash Flow, Trial Balance, General Ledger, SoCE, budget-vs-actual, ratios, management accounts). The one gap is a dedicated Accounts Receivable sub-ledger reconciliation. Specification / status record only — no code, schema, endpoint or permission change; each Morise subsidiary keeps its own ledger, AR and AP in this same module and the group consolidates.</w:t>
      </w:r>
    </w:p>
    <w:p>
      <w:pPr>
        <w:pStyle w:val="Heading2"/>
      </w:pPr>
      <w:r>
        <w:t>Addendum (1 September 2026) — Cash &amp; Bank Management Feature Section</w:t>
      </w:r>
    </w:p>
    <w:p>
      <w:pPr>
        <w:pStyle w:val="BodyText"/>
      </w:pPr>
      <w:r>
        <w:t>A “Cash and Bank Management” section has been recorded for the group. Bank and cash accounts exist today as General Ledger accounts (accountSubType bank / cash) with their movements posted as manual journal entries; bank and cash reconciliation are built (AccountReconciliation + /accounting/reconciliations), and a group cash position is exposed by the dashboard financials and /finance/overview. Backlog: a purpose-built bank / cash account register, petty cash, one-step deposit / withdrawal / transfer actions, payment and receipt vouchers, cash-flow forecasting, and a dedicated cash-position report. Specification / status record only — no code, schema, endpoint or permission change; each Morise subsidiary's bank and cash accounts sit in its own ledger.</w:t>
      </w:r>
    </w:p>
    <w:p>
      <w:pPr>
        <w:pStyle w:val="Heading2"/>
      </w:pPr>
      <w:r>
        <w:t>Addendum (1 September 2026) — Budget Management Feature Section</w:t>
      </w:r>
    </w:p>
    <w:p>
      <w:pPr>
        <w:pStyle w:val="BodyText"/>
      </w:pPr>
      <w:r>
        <w:t>A “Budget Management” section has been recorded for the group. Budgeting is partly built: the Budget model (one amount per GL account per financial period, set via /accounting/budgets with a full audit trail of changes), the /accounting/reports/budget-vs-actual report (budgeted vs actual vs variance, also inside management-accounts), and Project.budget with a project-level variance. Backlog: an annual / department / group budget dimension, a capex / opex classification, a budget approval workflow and versioned revisions, a dedicated utilization report, budget alerts, and a deeper variance analysis. Specification / status record only — no code, schema, endpoint or permission change; each Morise subsidiary budgets against its own ledger accounts.</w:t>
      </w:r>
    </w:p>
    <w:p>
      <w:pPr>
        <w:pStyle w:val="Heading2"/>
      </w:pPr>
      <w:r>
        <w:t>Addendum (1 September 2026) — Sales Management Feature Section</w:t>
      </w:r>
    </w:p>
    <w:p>
      <w:pPr>
        <w:pStyle w:val="BodyText"/>
      </w:pPr>
      <w:r>
        <w:t>A “Sales Management” section has been recorded for the group. Customer Management (registration, profiles, categories, credit-limit and payment-terms fields, statements, history) and the Sales core (sales orders with a fulfilment status machine, an invoice per order, customer credit notes, admin-managed discounts and promotions, delivery tracking) are built; support tickets are the customer-complaint and feedback channel. Backlog: quotations, printable delivery notes and receipts, a sales-return / RMA model, a multi-contact list and an enforced credit-limit check, sales commissions / targets / a performance dashboard, and the whole CRM (leads, opportunities, follow-ups, an activity log for calls / emails / meetings, a sales pipeline, structured feedback). Specification / status record only — no code, schema, endpoint or permission change; each Morise subsidiary's own customers and sales run in this same module.</w:t>
      </w:r>
    </w:p>
    <w:p>
      <w:pPr>
        <w:pStyle w:val="Heading2"/>
      </w:pPr>
      <w:r>
        <w:t>Addendum (1 September 2026) — Procurement &amp; Purchasing Feature Section</w:t>
      </w:r>
    </w:p>
    <w:p>
      <w:pPr>
        <w:pStyle w:val="BodyText"/>
      </w:pPr>
      <w:r>
        <w:t>A “Procurement and Purchasing” section has been recorded for the group, with the workflow Employee / Department Request → Department Approval → Procurement → Supplier Quotations → Evaluation → Management Approval → Purchase Order → Delivery → Inspection → Invoice → Payment. There is no dedicated Procurement module; the built pieces are the supplier master (Supplier, /suppliers) and the Accounts Payable tail — a SupplierInvoice with a draft → approved → paid approval workflow (GL posted on approve), supplier payments, supplier credit notes, AP aging, statement and payment schedule. Backlog: purchase requisitions, purchase orders, RFQs, supplier quotations and comparison, an evaluation / award step, a PO approval chain, goods received notes and inspection, a distinct purchase-return flow, and procurement budgets / reports. Specification / status record only — no code, schema, endpoint or permission change; each Morise subsidiary's procurement runs through this same supplier / AP module.</w:t>
      </w:r>
    </w:p>
    <w:p>
      <w:pPr>
        <w:pStyle w:val="Heading2"/>
      </w:pPr>
      <w:r>
        <w:t>Addendum (1 September 2026) — Supplier Management Feature Section</w:t>
      </w:r>
    </w:p>
    <w:p>
      <w:pPr>
        <w:pStyle w:val="BodyText"/>
      </w:pPr>
      <w:r>
        <w:t>A “Supplier Management” section has been recorded for the group. The supplier master is built: the Supplier record (name, category, contact, address, tax id, contract reference + expiry, bank name + account, status), registration / edit / category filtering, blacklist / un-blacklist, bank-detail masking under supplier.view.sensitive, and supplier payment history / statements via GET /api/v1/ap/statement. Backlog: a multi-contact list, supplier contracts and documents as uploaded versioned files (the deferred object-storage gap), a time-bound suspension distinct from blacklist, and supplier evaluation / performance scoring. Specification / status record only — no code, schema, endpoint or permission change; each Morise subsidiary keeps its own supplier master in this same module.</w:t>
      </w:r>
    </w:p>
    <w:p>
      <w:pPr>
        <w:pStyle w:val="Heading2"/>
      </w:pPr>
      <w:r>
        <w:t>Addendum (1 September 2026) — Supplier Management: Contacts, Suspension &amp; Evaluation</w:t>
      </w:r>
    </w:p>
    <w:p>
      <w:pPr>
        <w:pStyle w:val="BodyText"/>
      </w:pPr>
      <w:r>
        <w:t>The Supplier Management backlog recorded in the previous addendum is now built. Migration 20260901130000_supplier_management adds a multi-contact list per supplier (supplier_contacts, one primary enforced by the service), a periodic evaluation scorecard (supplier_evaluations - five 1-5 criteria with an averaged overall, comments and evaluator), a suspended status with a reason and an optional auto-lift date on the supplier record, and a derived GET /suppliers/:id/performance summary (rating band, trend, criterion averages and the supplier's AP position, computed with no backing table). New endpoints - contacts CRUD, suspend / unsuspend, evaluations CRUD - sit under the existing supplier.manage / supplier.viewAll permissions; suspend refuses a blacklisted supplier and a past-dated suspension lifts itself on read. The admin Suppliers screen gains a supplier detail dialog with Contacts, Evaluations and Performance tabs. Each Morise subsidiary keeps its own supplier master in this same module. Still backlog: supplier contracts and documents as uploaded versioned files — the deferred object-storage gap.</w:t>
      </w:r>
    </w:p>
    <w:p>
      <w:pPr>
        <w:pStyle w:val="Heading2"/>
      </w:pPr>
      <w:r>
        <w:t>Addendum (1 September 2026) — Inventory Management: Warehouses, Transfers, Batch / Serial Tracking &amp; Reports</w:t>
      </w:r>
    </w:p>
    <w:p>
      <w:pPr>
        <w:pStyle w:val="BodyText"/>
      </w:pPr>
      <w:r>
        <w:t>An “Inventory Management” section has been added and built for the group, extending the 28 August company-level Inventory section. Migration 20260901140000_inventory_management adds warehouses and stock locations, per-warehouse stock balances (summing to the company roll-up the storefront and Orders read), batch + expiry-date tracking, serial-number tracking, and minimum / maximum stock levels; the stock-movement types gain transfer_out / transfer_in / return / adjustment. New endpoints under the existing product.manage / product.viewAll: warehouse &amp; location CRUD, POST /inventory/transfers, POST /inventory/returns, GET /inventory/balances, PUT /inventory/products/:id/stock-levels, GET /inventory/batches, GET /inventory/serials, and eight reports at GET /inventory/reports/* (stock balance, stock movement, fast- / slow-moving &amp; dead stock, valuation, shortage, surplus, expiring). The admin Inventory screen gains Warehouses and Reports tabs. Each Morise subsidiary keeps its own warehouses and stock in this same module; the multi-branch Warehouse Management System specified in doc 20 remains a separate, deeper build. Backlog: put-away to a specific location, FEFO batch consumption on issue, and stock reservations in order fulfilment.</w:t>
      </w:r>
    </w:p>
    <w:p>
      <w:pPr>
        <w:pStyle w:val="Heading2"/>
      </w:pPr>
      <w:r>
        <w:t>Addendum (1 September 2026) — Warehouse Management: Staff, Receiving, Picking / Packing / Dispatch &amp; Count Reconciliation</w:t>
      </w:r>
    </w:p>
    <w:p>
      <w:pPr>
        <w:pStyle w:val="BodyText"/>
      </w:pPr>
      <w:r>
        <w:t>A “Warehouse Management” operations layer has been added and built for the group, on top of the Inventory Management foundation (multiple warehouses, locations and transfers). Migration 20260901150000_warehouse_management adds warehouse staff (by role), a receiving document (goods_receipts, draft → received), a picking → packing → dispatch job (pick_lists, optionally tied to a sales order), a physical count + reconciliation session (stock_counts, with system / counted / variance per line) and a functional kind on stock locations (receiving / storage / picking / packing / dispatch / quarantine). New endpoints under the existing product.manage / product.viewAll (no new permission; the Warehouse Manager role now holds product.manage): staff CRUD, goods-receipt receive / cancel, pick-list assign / pick / pack / dispatch / cancel, stock-count line entry / reconcile / cancel, and GET /inventory/lookup?barcode=. The admin Inventory screen gains a Warehouse ops tab. Each Morise subsidiary runs its own warehouse operations in this same module; the deeper multi-branch Warehouse Management System of doc 20 stays a separate build. Backlog: put-away to a specific bin, wave / batch picking, pack-station label printing, ASN scheduling, cycle-count scheduling.</w:t>
      </w:r>
    </w:p>
    <w:p>
      <w:pPr>
        <w:pStyle w:val="Heading2"/>
      </w:pPr>
      <w:r>
        <w:t>Addendum (2 September 2026) — Asset Management: Categories, Inspections, Insurance &amp; Asset History</w:t>
      </w:r>
    </w:p>
    <w:p>
      <w:pPr>
        <w:pStyle w:val="BodyText"/>
      </w:pPr>
      <w:r>
        <w:t>An “Asset Management” section has been added and built for the group, on top of the Sprint-11 Asset Service (registration, depreciation, transfer, maintenance, disposal). Migration 20260902120000_asset_management adds first-class asset categories with depreciation defaults, periodic condition inspections (excellent / good / fair / poor / unserviceable, with a next-due date), first-class insurance policies (insurer, cover, premium, term, status), and an append-only asset-history event log; the asset record gains a category link, a supplier link, a purchase reference and a warranty-expiry date. New endpoints under the existing asset.manage / asset.viewAll / asset.approve.disposal (no new permission): category CRUD, inspection record / list, insurance add / list / update, GET /assets/:id/history, and four reports at GET /assets/reports/* (fixed-asset register, depreciation schedule, insurance expiring, inspections due). The admin Assets screen gains a Categories manager and a per-asset detail dialog. Each Morise subsidiary keeps its own asset register in this same module. Backlog: an asset-documents file store (object storage), a reducing-balance depreciation method, scheduled depreciation runs, and asset revaluation.</w:t>
      </w:r>
    </w:p>
    <w:p>
      <w:pPr>
        <w:pStyle w:val="Heading2"/>
      </w:pPr>
      <w:r>
        <w:t>Addendum (2 September 2026) — Fleet &amp; Vehicle Management Module</w:t>
      </w:r>
    </w:p>
    <w:p>
      <w:pPr>
        <w:pStyle w:val="BodyText"/>
      </w:pPr>
      <w:r>
        <w:t>A new Fleet &amp; Vehicle Management module has been added and built for the group — a fleet register on top of (and optionally linked 1:1 to) the Asset module. Migration 20260902130000_fleet_management adds vehicles (registration, ownership, fuel type, odometer, status) plus driver assignments, odometer / mileage history, fuel logs, service schedules &amp; records (service / repair), statutory renewals (road licence, inspection certificate, PSV permit …), accident records and a rolled-up vehicle-expense log (auto-fed from fuel, service and renewals). A new fleet.manage / fleet.viewAll permission is granted like delivery.*. Endpoints under /api/v1/fleet cover vehicle CRUD, a per-vehicle summary, driver assignment, fuel / odometer logs, service, renewals, accidents, expenses, and five reports at GET /fleet/reports/* including fuel consumption (L/100km, cost/km). Vehicle inspection and insurance are covered by the linked asset; “tracking” is the odometer history plus a manual location (no live GPS). The admin app gains a Fleet screen. Each Morise subsidiary keeps its own fleet in this module. Backlog: GPS telematics ingestion, fuel-card import, a driver-licence register, tyre management, GL posting for fuel / service spend.</w:t>
      </w:r>
    </w:p>
    <w:p>
      <w:pPr>
        <w:pStyle w:val="Heading2"/>
      </w:pPr>
      <w:r>
        <w:t>Addendum (2 September 2026) — Remaining Feature Catalogue (Sections 17-57) &amp; Notifications and Alerts</w:t>
      </w:r>
    </w:p>
    <w:p>
      <w:pPr>
        <w:pStyle w:val="BodyText"/>
      </w:pPr>
      <w:r>
        <w:t>The remaining feature specification (sections 17-57 of the master requirements) has been recorded against the running Morise system — Project / Contract / Legal / Document Management, Approval Workflow, Expense / Loan / Investment /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Project, Expense, Support, the Audit Trail, Inter-Company, Consolidated reporting, Multi-Branch, the BI dashboards, the Security core, API documentation, the coded workflows and Performance &amp; KPI are BUILT; Contract, Investment, Shareholding, Tax, Multi-Currency, the Approval engine, Communication, Marketing, Search, Import/Export, Mobile, Compliance and Data Protection are PARTIAL; Legal Management, a Document store, Loan &amp; Financing, Board &amp; Governance, Audit Management, Backup &amp; Disaster Recovery, external Integrations, a BPM designer and Exit &amp; Separation are PLANNED. The recommended architecture's core (NestJS / Fastify / PostgreSQL / Redis / Prisma / OpenAPI / JWT / Docker) already matches; the distributed stack stays deferred. Shipped this pass: the cross-module Notifications &amp; Alerts feed — GET /api/v1/alerts and /alerts/summary, aggregating overdue invoices, pending approvals, expiring contracts, vehicle renewals and service, asset insurance and inspections, low stock, expiring batches and project deadlines, scope-filtered per BR-01, with a new Alerts screen. Read-only; no schema; no new permission. Each Morise subsidiary sees only its own alerts unless the caller holds group visibility.</w:t>
      </w:r>
    </w:p>
    <w:p>
      <w:pPr>
        <w:pStyle w:val="Heading2"/>
      </w:pPr>
      <w:r>
        <w:t>Addendum (2 September 2026) — Final System Objective &amp; the Executive Answer Layer</w:t>
      </w:r>
    </w:p>
    <w:p>
      <w:pPr>
        <w:pStyle w:val="BodyText"/>
      </w:pPr>
      <w:r>
        <w:t>The Final System Objective — a single centralized platform for the whole Morise group, with proper separation between companies, branches, departments and users, answering seventeen fixed group-management questions and functioning as an ERP + HRM + CRM + Accounting + Inventory + Procurement + Project + Asset + Corporate-Governance system — is recorded, and its executive answer layer implemented. A new src/executive module exposes GET /api/v1/executive/questions (the seventeen questions, each with a live answer, a value, a unit, a status of answered / partial / planned, and a per-company or per-item breakdown) and GET /api/v1/executive/overview (a compact key-value summary). Both are filtered to the caller's company scope per BR-01: a Group role gets the whole group; a subsidiary-scoped user gets only their companies, and the answers recompute for that set. The answers reuse the DashboardService financials plus targeted queries (asset net book value, headcount and salary bill, project profitability, supplier contracts expiring, vehicle service due, stock below minimum, pending approvals, department spend). Fifteen are answered outright; contract expiry and department spend are partial; group investments are planned. Read-only; no schema; no new permission. The admin app gains an Executive Q&amp;A screen. Each Morise subsidiary's manager sees the seventeen answers for their own company only.</w:t>
      </w:r>
    </w:p>
    <w:p>
      <w:pPr>
        <w:pStyle w:val="Heading2"/>
      </w:pPr>
      <w:r>
        <w:t>Addendum (2 September 2026) — Payroll Payslips Visible to Staff on Approval</w:t>
      </w:r>
    </w:p>
    <w:p>
      <w:pPr>
        <w:pStyle w:val="BodyText"/>
      </w:pPr>
      <w:r>
        <w:t>Once a payroll run is approved for a company, that company's staff can view their own payslip in the My Payslips section of My HR in the admin application, without waiting for the run to be paid. The self-service endpoint GET /api/v1/my-hr/payslips — scoped to the signed-in user through the Employee.userId link — widened its filter from payroll runs in status paid to runs in status approved or paid, and now returns the run status and the approval date alongside the payment date; draft and cancelled runs remain hidden and each employee still sees only their own payslip. Approving a run (POST /api/v1/payroll/runs/:id/approve) now notifies every run member who has a login that their payslip is ready to view. The admin My Payslips screen shows an “Approved · awaiting payment” badge until the run is paid, then a “Paid” badge with the date. Read-only widening of an existing endpoint: no schema change, no migration, no new permission.</w:t>
      </w:r>
    </w:p>
    <w:p>
      <w:pPr>
        <w:pStyle w:val="Heading2"/>
      </w:pPr>
      <w:r>
        <w:t>Addendum (2 September 2026) — Alerts on the Admin Bell, Routed by Department</w:t>
      </w:r>
    </w:p>
    <w:p>
      <w:pPr>
        <w:pStyle w:val="BodyText"/>
      </w:pPr>
      <w:r>
        <w:t>The cross-module Alerts feed now surfaces on the admin app's bell icon as notifications, and each logged-in admin staff member sees them filtered to their own department. Every alert is tagged with the department responsible for acting on it — a real column where the source record has one, otherwise a case-insensitive substring match of the owning function against that company's department names; an unmatched alert is company-wide. A new AlertsService.syncToNotifications(user) mirrors the caller's live alert feed onto their bell as Notification rows, reconciling on each read (create new, delete cleared); it runs lazily at the top of the two notification read endpoints, is best-effort and throttled to one reconcile per user every two minutes — no scheduler exists in this build. A staff member with a known department (from their linked Employee record, else a department-scoped access grant) sees that department's alerts plus the company-wide ones; a user with group-wide visibility, or with no department, sees everything already in their company scope. Notification gains a nullable department_id column (migration 20260902140000_notification_department). No new permission, no new endpoint.</w:t>
      </w:r>
    </w:p>
    <w:p>
      <w:pPr>
        <w:pStyle w:val="Heading2"/>
      </w:pPr>
      <w:r>
        <w:t>Addendum (2 September 2026) — Alert Notifications Made Visible on the Bell</w:t>
      </w:r>
    </w:p>
    <w:p>
      <w:pPr>
        <w:pStyle w:val="BodyText"/>
      </w:pPr>
      <w:r>
        <w:t>Follow-up to the previous addendum. The department-routed alert notifications were being written to each staff member's bell correctly but were rendered white-on-white — the notification dropdown sits inside the navy top bar, which sets a white text colour, and the panel never reset it. The dropdown now sets an explicit dark text colour, an opaque white background and left alignment, so every row (title, detail, timestamp, department chip) is legible. Department routing was also made deterministic: an ordered keyword list per alert category (most specific owner first), first match wins, with catch-all field / operations keywords appended so a company with only a general operations department still receives vehicle, stock, batch and inspection alerts. No schema, endpoint or permission change.</w:t>
      </w:r>
    </w:p>
    <w:p>
      <w:pPr>
        <w:pStyle w:val="Heading2"/>
      </w:pPr>
      <w:r>
        <w:t>Addendum (2 September 2026) — Social Media Channels Managed From One Shared Record</w:t>
      </w:r>
    </w:p>
    <w:p>
      <w:pPr>
        <w:pStyle w:val="BodyText"/>
      </w:pPr>
      <w:r>
        <w:t>The storefront's social media channels can now be driven from a single shared content record in the CMS / Site Builder section of the admin/backend: one handle, display name, tagline and visibility setting, pushed to every channel in a single click. A new SocialContent table (one row) sits beside the unchanged per-channel SocialLink table; four endpoints under the existing cms.manage / cms.viewAll permissions read and save the record, apply it to every channel (optionally creating a channel for every supported platform and/or rebuilding each URL from the handle), or delete every channel at once. The storefront footer shows the shared tagline. No new permission, and no change to this subsidiary's own system.</w:t>
      </w:r>
    </w:p>
    <w:p>
      <w:pPr>
        <w:pStyle w:val="Heading2"/>
      </w:pPr>
      <w:r>
        <w:t>Addendum (2 September 2026) — Every Social Media Platform Managed From One CMS Roster</w:t>
      </w:r>
    </w:p>
    <w:p>
      <w:pPr>
        <w:pStyle w:val="BodyText"/>
      </w:pPr>
      <w:r>
        <w:t>Refining Update 88: the CMS / Site Builder “Social media channels” panel is now a fixed roster of every supported platform (Facebook, X, Instagram, LinkedIn, YouTube, TikTok, WhatsApp, Telegram, Other), each a single editable row present whether or not a channel has been set up. `social_links` gains a UNIQUE constraint on `platform` (migration 20260902160000_social_link_platform_unique, de-duplicating first); two endpoints under the existing cms.manage / cms.viewAll permissions (GET /api/v1/cms/social-links/roster, PUT /api/v1/cms/social-links/platform/:platform — create / update / delete by platform) back it, and the free-form add form is replaced by the roster. No new permission, and no change to this subsidiary's own system.</w:t>
      </w:r>
    </w:p>
    <w:p>
      <w:pPr>
        <w:pStyle w:val="Heading2"/>
      </w:pPr>
      <w:r>
        <w:t>Addendum (3 September 2026) — Automatic Staff Identification Cards for Active Administration Staff</w:t>
      </w:r>
    </w:p>
    <w:p>
      <w:pPr>
        <w:pStyle w:val="BodyText"/>
      </w:pPr>
      <w:r>
        <w:t>Automatic Staff Identification Card (3 September 2026): the group platform now issues every actively registered administration staff member a system-generated identification card automatically (new staff_id_cards table + src/staff-id-cards module + employee.idcard.manage / employee.idcard.viewAll permissions, an Admin 'Staff ID Cards' screen and a 'My ID Card' self-service screen). Cross-reference only - the clearing / forwarding / warehouse / collateral subsidiary systems in this specification are not built; when built they inherit this capability through the shared Employee and permission model.</w:t>
      </w:r>
    </w:p>
    <w:p>
      <w:pPr>
        <w:pStyle w:val="Heading2"/>
      </w:pPr>
      <w:r>
        <w:t>Addendum (3 September 2026) — Staff Identification Card — Front and Back</w:t>
      </w:r>
    </w:p>
    <w:p>
      <w:pPr>
        <w:pStyle w:val="BodyText"/>
      </w:pPr>
      <w:r>
        <w:t>Staff Identification Card - Front and Back (3 September 2026): the automatic staff identification card (Update 90) now has a distinct front and back. The back carries the conditions of use, an 'if found, return to' block from the issuing company's registered address, the holder's national id / emergency contact / blood group and a Code 128-style barcode of the card number. Two nullable columns (blood_group, back_notes; migration 20260903140000_staff_id_card_back); no new endpoint or permission. Cross-reference only - the subsidiary systems in this specification are not built.</w:t>
      </w:r>
    </w:p>
    <w:p>
      <w:pPr>
        <w:pStyle w:val="Heading2"/>
      </w:pPr>
      <w:r>
        <w:t>Addendum (3 September 2026) — Staff Identification Card — Back Face Sized to the Front, Blood Group Removed</w:t>
      </w:r>
    </w:p>
    <w:p>
      <w:pPr>
        <w:pStyle w:val="BodyText"/>
      </w:pPr>
      <w:r>
        <w:t>Staff Identification Card - Back Face Sized to the Front, Blood Group Removed (3 September 2026): a refinement of Updates 90-91 - the identification card's back no longer shows a blood group (the blood_group column is dropped, migration 20260903160000_staff_id_card_drop_blood_group) and the front and back are now rendered at the same fixed size. No new endpoint or permission. Cross-reference only - the subsidiary systems in this specification are not built.</w:t>
      </w:r>
    </w:p>
    <w:p>
      <w:pPr>
        <w:pStyle w:val="Heading2"/>
      </w:pPr>
      <w:r>
        <w:t>Addendum (3 September 2026) — Morise Milling Ltd Subsidiary + Milling ERP Specification (New Doc 23)</w:t>
      </w:r>
    </w:p>
    <w:p>
      <w:pPr>
        <w:pStyle w:val="BodyText"/>
      </w:pPr>
      <w:r>
        <w:t>Morise Milling Ltd Subsidiary + Milling ERP Specification (New Doc 23) (3 September 2026): a sixth wholly-owned subsidiary, Morise Milling Ltd (grain milling), is seeded under Morise Holdings Limited - company a1000000-0000-4000-8000-000000000007, six mill sites, twelve departments (one per architecture module) and six starter policies (weighbridge integrity, grain acceptance, milling yield / loss, batch traceability, preventive maintenance, food safety). Its Milling ERP &amp; Integrated Business Management System is specified in the new doc 23 (twelve modules, phased backlog) and is not built; the organisation is live under the subsidiary-lifecycle capability. seed.ts + a storefront listing + a brand banner only - no code, schema or permission change. Cross-reference only for this specification.</w:t>
      </w:r>
    </w:p>
    <w:p>
      <w:pPr>
        <w:pStyle w:val="Heading2"/>
      </w:pPr>
      <w:r>
        <w:t>Addendum (3 September 2026) — Automatic Morise e-Stamp on a Customer-Acknowledged Delivery</w:t>
      </w:r>
    </w:p>
    <w:p>
      <w:pPr>
        <w:pStyle w:val="BodyText"/>
      </w:pPr>
      <w:r>
        <w:t>Automatic Morise e-Stamp on a Customer-Acknowledged Delivery (3 September 2026): after a Morise delivery is completed, the customer confirms receipt of the goods / services in good condition through the customer portal and MBMS automatically places a Morise e-Stamp on the order's invoice (new POST .../delivery/acknowledge; new invoice stamp columns + a PDF seal; migration 20260903180000_invoice_estamp_delivery_ack); a damaged / incomplete / not-received confirmation opens a delivery exception instead. Doc 22 owns the detail. Cross-reference only for this specification.</w:t>
      </w:r>
    </w:p>
    <w:p>
      <w:pPr>
        <w:pStyle w:val="Heading2"/>
      </w:pPr>
      <w:r>
        <w:t>Addendum (3 September 2026) — A Clear "Confirm Receipt" Button / Link for the Customer e-Stamp Confirmation</w:t>
      </w:r>
    </w:p>
    <w:p>
      <w:pPr>
        <w:pStyle w:val="BodyText"/>
      </w:pPr>
      <w:r>
        <w:t>A Clear "Confirm Receipt" Button / Link (3 September 2026): the customer's confirmation that triggers the automatic Morise e-Stamp (Update 94) is now reachable from a clear button / link - a Home-dashboard prompt, a 'Confirm receipt -&gt;' link on each pending order, and a dedicated /orders/:id/confirm page (new read GET .../orders/awaiting-confirmation). Doc 22 owns the detail; no schema or permission change. Cross-reference only for this specification.</w:t>
      </w:r>
    </w:p>
    <w:p>
      <w:pPr>
        <w:pStyle w:val="Heading2"/>
      </w:pPr>
      <w:r>
        <w:t>Addendum (3 September 2026) — Confirm-Receipt Button Driven by the Order's Delivered Status</w:t>
      </w:r>
    </w:p>
    <w:p>
      <w:pPr>
        <w:pStyle w:val="BodyText"/>
      </w:pPr>
      <w:r>
        <w:t>Confirm-Receipt Button Driven by the Order's Delivered Status (3 September 2026): once an administrator marks an order delivered, the storefront shows a Confirm-receipt button; the customer's click attests good condition and generates the automatic Morise e-Stamp (Update 94). The confirmation is now tied to the order's status rather than a Morise Logistics delivery record (new order.delivered_at + customer_receipt_* columns, migration 20260903200000_order_customer_receipt). Doc 22 owns the detail; no new endpoint or permission. Cross-reference only for this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