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Requirements — new functional requirements (FR-PAY): salary structures (basic + allowances + overtime + bonuses + commissions); deductions (loans, advances, taxes, statutory, pension); payroll approval; payslip generation; bank payment schedules; payroll history; and payroll reports at department, company and consolidated group level, across subsidiaries. Approval, PAYE / NSSF, advances, history and multi-subsidiary scope are already met; the remainder is specified as planned.</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Requirements — the FR-PAY salary-structure requirements are met: an authorised payroll officer defines an employee's basic salary, allowances and one-off overtime / bonus lines; a run computes gross from the applicable components; the payslip shows the breakdown. Commissions and the deduction side remain planned.</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Requirements — records the FR-ACC / FR-AR / FR-AP / FR-FS feature list. Almost every line is already met (chart of accounts; journals with adjusting / closing types; periods; reconciliation; recurring journals; AR notes / payments / reminders / statements / aging; the AP invoice-approval workflow / payments / notes / statements / aging / schedules; and P&amp;L / Balance Sheet / Cash Flow / SoCE / ratios / budget-vs-actual / management accounts). Outstanding: a dedicated AR sub-ledger reconciliation.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