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Administrator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724"/>
        <w:gridCol w:w="9615"/>
      </w:tblGrid>
      <w:tr>
        <w:trPr/>
        <w:tc>
          <w:tcPr>
            <w:tcW w:w="1724" w:type="dxa"/>
            <w:tcBorders/>
            <w:vAlign w:val="center"/>
          </w:tcPr>
          <w:p>
            <w:pPr>
              <w:pStyle w:val="TableContents"/>
              <w:bidi w:val="0"/>
              <w:spacing w:before="0" w:after="283"/>
              <w:jc w:val="left"/>
              <w:rPr>
                <w:b/>
              </w:rPr>
            </w:pPr>
            <w:r>
              <w:rPr>
                <w:b/>
              </w:rPr>
              <w:t>Document Type:</w:t>
            </w:r>
          </w:p>
        </w:tc>
        <w:tc>
          <w:tcPr>
            <w:tcW w:w="9615" w:type="dxa"/>
            <w:tcBorders/>
            <w:vAlign w:val="center"/>
          </w:tcPr>
          <w:p>
            <w:pPr>
              <w:pStyle w:val="TableContents"/>
              <w:bidi w:val="0"/>
              <w:spacing w:before="0" w:after="283"/>
              <w:jc w:val="left"/>
              <w:rPr/>
            </w:pPr>
            <w:r>
              <w:rPr/>
              <w:t>Administrator Manual</w:t>
            </w:r>
          </w:p>
        </w:tc>
      </w:tr>
      <w:tr>
        <w:trPr/>
        <w:tc>
          <w:tcPr>
            <w:tcW w:w="1724" w:type="dxa"/>
            <w:tcBorders/>
            <w:vAlign w:val="center"/>
          </w:tcPr>
          <w:p>
            <w:pPr>
              <w:pStyle w:val="TableContents"/>
              <w:bidi w:val="0"/>
              <w:spacing w:before="0" w:after="283"/>
              <w:jc w:val="left"/>
              <w:rPr>
                <w:b/>
              </w:rPr>
            </w:pPr>
            <w:r>
              <w:rPr>
                <w:b/>
              </w:rPr>
              <w:t>Purpose:</w:t>
            </w:r>
          </w:p>
        </w:tc>
        <w:tc>
          <w:tcPr>
            <w:tcW w:w="9615" w:type="dxa"/>
            <w:tcBorders/>
            <w:vAlign w:val="center"/>
          </w:tcPr>
          <w:p>
            <w:pPr>
              <w:pStyle w:val="TableContents"/>
              <w:bidi w:val="0"/>
              <w:spacing w:before="0" w:after="283"/>
              <w:jc w:val="left"/>
              <w:rPr/>
            </w:pPr>
            <w:r>
              <w:rPr/>
              <w:t>Provides administration instructions</w:t>
            </w:r>
          </w:p>
        </w:tc>
      </w:tr>
      <w:tr>
        <w:trPr/>
        <w:tc>
          <w:tcPr>
            <w:tcW w:w="1724" w:type="dxa"/>
            <w:tcBorders/>
            <w:vAlign w:val="center"/>
          </w:tcPr>
          <w:p>
            <w:pPr>
              <w:pStyle w:val="TableContents"/>
              <w:bidi w:val="0"/>
              <w:spacing w:before="0" w:after="283"/>
              <w:jc w:val="left"/>
              <w:rPr>
                <w:b/>
              </w:rPr>
            </w:pPr>
            <w:r>
              <w:rPr>
                <w:b/>
              </w:rPr>
              <w:t>Version:</w:t>
            </w:r>
          </w:p>
        </w:tc>
        <w:tc>
          <w:tcPr>
            <w:tcW w:w="9615" w:type="dxa"/>
            <w:tcBorders/>
            <w:vAlign w:val="center"/>
          </w:tcPr>
          <w:p>
            <w:pPr>
              <w:pStyle w:val="TableContents"/>
              <w:bidi w:val="0"/>
              <w:spacing w:before="0" w:after="283"/>
              <w:jc w:val="left"/>
              <w:rPr/>
            </w:pPr>
            <w:r>
              <w:rPr/>
              <w:t>1.0 (Draft)</w:t>
            </w:r>
          </w:p>
        </w:tc>
      </w:tr>
      <w:tr>
        <w:trPr/>
        <w:tc>
          <w:tcPr>
            <w:tcW w:w="1724" w:type="dxa"/>
            <w:tcBorders/>
            <w:vAlign w:val="center"/>
          </w:tcPr>
          <w:p>
            <w:pPr>
              <w:pStyle w:val="TableContents"/>
              <w:bidi w:val="0"/>
              <w:spacing w:before="0" w:after="283"/>
              <w:jc w:val="left"/>
              <w:rPr>
                <w:b/>
              </w:rPr>
            </w:pPr>
            <w:r>
              <w:rPr>
                <w:b/>
              </w:rPr>
              <w:t>Date:</w:t>
            </w:r>
          </w:p>
        </w:tc>
        <w:tc>
          <w:tcPr>
            <w:tcW w:w="9615" w:type="dxa"/>
            <w:tcBorders/>
            <w:vAlign w:val="center"/>
          </w:tcPr>
          <w:p>
            <w:pPr>
              <w:pStyle w:val="TableContents"/>
              <w:bidi w:val="0"/>
              <w:spacing w:before="0" w:after="283"/>
              <w:jc w:val="left"/>
              <w:rPr/>
            </w:pPr>
            <w:r>
              <w:rPr/>
              <w:t>18 August 2026</w:t>
            </w:r>
          </w:p>
        </w:tc>
      </w:tr>
      <w:tr>
        <w:trPr/>
        <w:tc>
          <w:tcPr>
            <w:tcW w:w="1724" w:type="dxa"/>
            <w:tcBorders/>
            <w:vAlign w:val="center"/>
          </w:tcPr>
          <w:p>
            <w:pPr>
              <w:pStyle w:val="TableContents"/>
              <w:bidi w:val="0"/>
              <w:spacing w:before="0" w:after="283"/>
              <w:jc w:val="left"/>
              <w:rPr>
                <w:b/>
              </w:rPr>
            </w:pPr>
            <w:r>
              <w:rPr>
                <w:b/>
              </w:rPr>
              <w:t>Prepared by:</w:t>
            </w:r>
          </w:p>
        </w:tc>
        <w:tc>
          <w:tcPr>
            <w:tcW w:w="9615" w:type="dxa"/>
            <w:tcBorders/>
            <w:vAlign w:val="center"/>
          </w:tcPr>
          <w:p>
            <w:pPr>
              <w:pStyle w:val="TableContents"/>
              <w:bidi w:val="0"/>
              <w:spacing w:before="0" w:after="283"/>
              <w:jc w:val="left"/>
              <w:rPr/>
            </w:pPr>
            <w:r>
              <w:rPr/>
              <w:t>Obeke Godfrey, Director</w:t>
            </w:r>
          </w:p>
        </w:tc>
      </w:tr>
      <w:tr>
        <w:trPr/>
        <w:tc>
          <w:tcPr>
            <w:tcW w:w="1724" w:type="dxa"/>
            <w:tcBorders/>
            <w:vAlign w:val="center"/>
          </w:tcPr>
          <w:p>
            <w:pPr>
              <w:pStyle w:val="TableContents"/>
              <w:bidi w:val="0"/>
              <w:spacing w:before="0" w:after="283"/>
              <w:jc w:val="left"/>
              <w:rPr>
                <w:b/>
              </w:rPr>
            </w:pPr>
            <w:r>
              <w:rPr>
                <w:b/>
              </w:rPr>
              <w:t>Prepared for:</w:t>
            </w:r>
          </w:p>
        </w:tc>
        <w:tc>
          <w:tcPr>
            <w:tcW w:w="9615" w:type="dxa"/>
            <w:tcBorders/>
            <w:vAlign w:val="center"/>
          </w:tcPr>
          <w:p>
            <w:pPr>
              <w:pStyle w:val="TableContents"/>
              <w:bidi w:val="0"/>
              <w:spacing w:before="0" w:after="283"/>
              <w:jc w:val="left"/>
              <w:rPr/>
            </w:pPr>
            <w:r>
              <w:rPr/>
              <w:t>IT Administrator, Development Team / Technology Partner</w:t>
            </w:r>
          </w:p>
        </w:tc>
      </w:tr>
      <w:tr>
        <w:trPr/>
        <w:tc>
          <w:tcPr>
            <w:tcW w:w="1724" w:type="dxa"/>
            <w:tcBorders/>
            <w:vAlign w:val="center"/>
          </w:tcPr>
          <w:p>
            <w:pPr>
              <w:pStyle w:val="TableContents"/>
              <w:bidi w:val="0"/>
              <w:spacing w:before="0" w:after="283"/>
              <w:jc w:val="left"/>
              <w:rPr>
                <w:b/>
              </w:rPr>
            </w:pPr>
            <w:r>
              <w:rPr>
                <w:b/>
              </w:rPr>
              <w:t>Related documents:</w:t>
            </w:r>
          </w:p>
        </w:tc>
        <w:tc>
          <w:tcPr>
            <w:tcW w:w="9615" w:type="dxa"/>
            <w:tcBorders/>
            <w:vAlign w:val="center"/>
          </w:tcPr>
          <w:p>
            <w:pPr>
              <w:pStyle w:val="TableContents"/>
              <w:bidi w:val="0"/>
              <w:spacing w:before="0" w:after="283"/>
              <w:jc w:val="left"/>
              <w:rPr/>
            </w:pPr>
            <w:r>
              <w:rPr/>
              <w:t>07_System Design Document (v2.0); 08_Database Design Document; 09_API Specification; 10_Test Plan; 11_Deployment Plan; 13_Alpha Test Plan; 14_User Manual</w:t>
            </w:r>
          </w:p>
        </w:tc>
      </w:tr>
    </w:tbl>
    <w:p>
      <w:pPr>
        <w:pStyle w:val="Heading2"/>
        <w:bidi w:val="0"/>
        <w:jc w:val="left"/>
        <w:rPr/>
      </w:pPr>
      <w:r>
        <w:rPr/>
        <w:t>1. Purpose and Audience</w:t>
      </w:r>
    </w:p>
    <w:p>
      <w:pPr>
        <w:pStyle w:val="BodyText"/>
        <w:bidi w:val="0"/>
        <w:jc w:val="left"/>
        <w:rPr/>
      </w:pPr>
      <w:r>
        <w:rPr/>
        <w:t xml:space="preserve">14_User Manual covers day-to-day business use, including the business-administration tasks any Super Administrator or IT Administrator performs in the ordinary course of running the Group (creating companies, users, roles). This manual is different: it is for whoever </w:t>
      </w:r>
      <w:r>
        <w:rPr>
          <w:b/>
        </w:rPr>
        <w:t>operates</w:t>
      </w:r>
      <w:r>
        <w:rPr/>
        <w:t xml:space="preserve"> the system itself — the IT Administrator and the engaged development team/technology partner — and covers what the User Manual does not: infrastructure, monitoring, incident response, backups, releases, and security administration.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Business-administration tasks are not repeated here.</w:t>
      </w:r>
      <w:r>
        <w:rPr>
          <w:sz w:val="21"/>
          <w:bdr w:val="single" w:sz="24" w:space="9" w:color="D98C00"/>
          <w:shd w:fill="FFF4E5" w:val="clear"/>
        </w:rPr>
        <w:t xml:space="preserve"> For creating companies/branches/departments, managing users and roles, and day-to-day account administration (lock/unlock, deactivate, password reset), see 14_User Manual, Sections 3.1–3.5. This manual assumes you already know those tasks and covers what happens underneath them.</w:t>
      </w:r>
    </w:p>
    <w:p>
      <w:pPr>
        <w:pStyle w:val="Heading2"/>
        <w:bidi w:val="0"/>
        <w:jc w:val="left"/>
        <w:rPr/>
      </w:pPr>
      <w:r>
        <w:rPr/>
        <w:t>2. System Overview for Administrators</w:t>
      </w:r>
    </w:p>
    <w:p>
      <w:pPr>
        <w:pStyle w:val="BodyText"/>
        <w:bidi w:val="0"/>
        <w:jc w:val="left"/>
        <w:rPr/>
      </w:pPr>
      <w:r>
        <w:rPr/>
        <w:t>MBMS Phase 1 is eight independently deployable microservices plus an API Gateway (07_System Design Document, v2.0, Section 3): Identity, Organization, Employee, Customer, Supplier, Product, Accounting, and Audit &amp; Reporting. Each owns its own PostgreSQL database; they communicate with clients via REST through the Gateway and with each other asynchronously via Kafka. There is no single "the database" or "the application" — administration means operating eight related but independent systems as one coherent whole.</w:t>
      </w:r>
    </w:p>
    <w:p>
      <w:pPr>
        <w:pStyle w:val="Heading2"/>
        <w:bidi w:val="0"/>
        <w:jc w:val="left"/>
        <w:rPr/>
      </w:pPr>
      <w:r>
        <w:rPr/>
        <w:t>3. Environments</w:t>
      </w:r>
    </w:p>
    <w:tbl>
      <w:tblPr>
        <w:tblW w:w="11339" w:type="dxa"/>
        <w:jc w:val="left"/>
        <w:tblInd w:w="28" w:type="dxa"/>
        <w:tblLayout w:type="fixed"/>
        <w:tblCellMar>
          <w:top w:w="28" w:type="dxa"/>
          <w:left w:w="28" w:type="dxa"/>
          <w:bottom w:w="28" w:type="dxa"/>
          <w:right w:w="28" w:type="dxa"/>
        </w:tblCellMar>
      </w:tblPr>
      <w:tblGrid>
        <w:gridCol w:w="1385"/>
        <w:gridCol w:w="4785"/>
        <w:gridCol w:w="5169"/>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4785" w:type="dxa"/>
            <w:tcBorders/>
            <w:vAlign w:val="center"/>
          </w:tcPr>
          <w:p>
            <w:pPr>
              <w:pStyle w:val="TableHeading"/>
              <w:suppressLineNumbers/>
              <w:shd w:fill="1F3864" w:val="clear"/>
              <w:bidi w:val="0"/>
              <w:spacing w:before="0" w:after="283"/>
              <w:jc w:val="left"/>
              <w:rPr/>
            </w:pPr>
            <w:r>
              <w:rPr/>
              <w:t>Purpose</w:t>
            </w:r>
          </w:p>
        </w:tc>
        <w:tc>
          <w:tcPr>
            <w:tcW w:w="5169" w:type="dxa"/>
            <w:tcBorders/>
            <w:vAlign w:val="center"/>
          </w:tcPr>
          <w:p>
            <w:pPr>
              <w:pStyle w:val="TableHeading"/>
              <w:suppressLineNumbers/>
              <w:shd w:fill="1F3864" w:val="clear"/>
              <w:bidi w:val="0"/>
              <w:spacing w:before="0" w:after="283"/>
              <w:jc w:val="left"/>
              <w:rPr/>
            </w:pPr>
            <w:r>
              <w:rPr/>
              <w:t>Who Has Access</w:t>
            </w:r>
          </w:p>
        </w:tc>
      </w:tr>
      <w:tr>
        <w:trPr/>
        <w:tc>
          <w:tcPr>
            <w:tcW w:w="1385" w:type="dxa"/>
            <w:tcBorders/>
            <w:vAlign w:val="center"/>
          </w:tcPr>
          <w:p>
            <w:pPr>
              <w:pStyle w:val="TableContents"/>
              <w:bidi w:val="0"/>
              <w:spacing w:before="0" w:after="283"/>
              <w:jc w:val="left"/>
              <w:rPr/>
            </w:pPr>
            <w:r>
              <w:rPr/>
              <w:t>Development</w:t>
            </w:r>
          </w:p>
        </w:tc>
        <w:tc>
          <w:tcPr>
            <w:tcW w:w="4785" w:type="dxa"/>
            <w:tcBorders/>
            <w:vAlign w:val="center"/>
          </w:tcPr>
          <w:p>
            <w:pPr>
              <w:pStyle w:val="TableContents"/>
              <w:bidi w:val="0"/>
              <w:spacing w:before="0" w:after="283"/>
              <w:jc w:val="left"/>
              <w:rPr/>
            </w:pPr>
            <w:r>
              <w:rPr/>
              <w:t>Developer testing, CI pipelines</w:t>
            </w:r>
          </w:p>
        </w:tc>
        <w:tc>
          <w:tcPr>
            <w:tcW w:w="5169" w:type="dxa"/>
            <w:tcBorders/>
            <w:vAlign w:val="center"/>
          </w:tcPr>
          <w:p>
            <w:pPr>
              <w:pStyle w:val="TableContents"/>
              <w:bidi w:val="0"/>
              <w:spacing w:before="0" w:after="283"/>
              <w:jc w:val="left"/>
              <w:rPr/>
            </w:pPr>
            <w:r>
              <w:rPr/>
              <w:t>Development team</w:t>
            </w:r>
          </w:p>
        </w:tc>
      </w:tr>
      <w:tr>
        <w:trPr/>
        <w:tc>
          <w:tcPr>
            <w:tcW w:w="1385" w:type="dxa"/>
            <w:tcBorders/>
            <w:vAlign w:val="center"/>
          </w:tcPr>
          <w:p>
            <w:pPr>
              <w:pStyle w:val="TableContents"/>
              <w:bidi w:val="0"/>
              <w:spacing w:before="0" w:after="283"/>
              <w:jc w:val="left"/>
              <w:rPr/>
            </w:pPr>
            <w:r>
              <w:rPr/>
              <w:t>Staging</w:t>
            </w:r>
          </w:p>
        </w:tc>
        <w:tc>
          <w:tcPr>
            <w:tcW w:w="4785" w:type="dxa"/>
            <w:tcBorders/>
            <w:vAlign w:val="center"/>
          </w:tcPr>
          <w:p>
            <w:pPr>
              <w:pStyle w:val="TableContents"/>
              <w:bidi w:val="0"/>
              <w:spacing w:before="0" w:after="283"/>
              <w:jc w:val="left"/>
              <w:rPr/>
            </w:pPr>
            <w:r>
              <w:rPr/>
              <w:t>Contract/system/security/performance testing, Alpha testing, UAT (10_Test Plan; 13_Alpha Test Plan; 12_UAT Plan)</w:t>
            </w:r>
          </w:p>
        </w:tc>
        <w:tc>
          <w:tcPr>
            <w:tcW w:w="5169" w:type="dxa"/>
            <w:tcBorders/>
            <w:vAlign w:val="center"/>
          </w:tcPr>
          <w:p>
            <w:pPr>
              <w:pStyle w:val="TableContents"/>
              <w:bidi w:val="0"/>
              <w:spacing w:before="0" w:after="283"/>
              <w:jc w:val="left"/>
              <w:rPr/>
            </w:pPr>
            <w:r>
              <w:rPr/>
              <w:t>Development team, IT Administrator, UAT participants (scoped accounts only)</w:t>
            </w:r>
          </w:p>
        </w:tc>
      </w:tr>
      <w:tr>
        <w:trPr/>
        <w:tc>
          <w:tcPr>
            <w:tcW w:w="1385" w:type="dxa"/>
            <w:tcBorders/>
            <w:vAlign w:val="center"/>
          </w:tcPr>
          <w:p>
            <w:pPr>
              <w:pStyle w:val="TableContents"/>
              <w:bidi w:val="0"/>
              <w:spacing w:before="0" w:after="283"/>
              <w:jc w:val="left"/>
              <w:rPr/>
            </w:pPr>
            <w:r>
              <w:rPr/>
              <w:t>Production</w:t>
            </w:r>
          </w:p>
        </w:tc>
        <w:tc>
          <w:tcPr>
            <w:tcW w:w="4785" w:type="dxa"/>
            <w:tcBorders/>
            <w:vAlign w:val="center"/>
          </w:tcPr>
          <w:p>
            <w:pPr>
              <w:pStyle w:val="TableContents"/>
              <w:bidi w:val="0"/>
              <w:spacing w:before="0" w:after="283"/>
              <w:jc w:val="left"/>
              <w:rPr/>
            </w:pPr>
            <w:r>
              <w:rPr/>
              <w:t>Live Group data</w:t>
            </w:r>
          </w:p>
        </w:tc>
        <w:tc>
          <w:tcPr>
            <w:tcW w:w="5169" w:type="dxa"/>
            <w:tcBorders/>
            <w:vAlign w:val="center"/>
          </w:tcPr>
          <w:p>
            <w:pPr>
              <w:pStyle w:val="TableContents"/>
              <w:bidi w:val="0"/>
              <w:spacing w:before="0" w:after="283"/>
              <w:jc w:val="left"/>
              <w:rPr/>
            </w:pPr>
            <w:r>
              <w:rPr/>
              <w:t>IT Administrator and the deployment pipeline only — no ad hoc manual access (07_System Design Document, Section 12)</w:t>
            </w:r>
          </w:p>
        </w:tc>
      </w:tr>
    </w:tbl>
    <w:p>
      <w:pPr>
        <w:pStyle w:val="Heading2"/>
        <w:bidi w:val="0"/>
        <w:jc w:val="left"/>
        <w:rPr/>
      </w:pPr>
      <w:r>
        <w:rPr/>
        <w:t>4. User and Access Administration (Beyond the User Manual)</w:t>
      </w:r>
    </w:p>
    <w:p>
      <w:pPr>
        <w:pStyle w:val="BodyText"/>
        <w:numPr>
          <w:ilvl w:val="0"/>
          <w:numId w:val="1"/>
        </w:numPr>
        <w:tabs>
          <w:tab w:val="clear" w:pos="1134"/>
          <w:tab w:val="left" w:pos="709" w:leader="none"/>
        </w:tabs>
        <w:bidi w:val="0"/>
        <w:spacing w:before="0" w:after="0"/>
        <w:ind w:hanging="283" w:left="709"/>
        <w:jc w:val="left"/>
        <w:rPr/>
      </w:pPr>
      <w:r>
        <w:rPr>
          <w:b/>
        </w:rPr>
        <w:t>Offboarding:</w:t>
      </w:r>
      <w:r>
        <w:rPr/>
        <w:t xml:space="preserve"> when an employee leaves, deactivate their user account (14_User Manual, Section 3.4) — do not delete it. Deactivation immediately revokes access while preserving their audit history (BR-06). Also review and remove any </w:t>
      </w:r>
      <w:r>
        <w:rPr>
          <w:rStyle w:val="SourceText"/>
        </w:rPr>
        <w:t>user_scopes</w:t>
      </w:r>
      <w:r>
        <w:rPr/>
        <w:t xml:space="preserve"> entries that were unusually broad, as part of periodic access review below. </w:t>
      </w:r>
    </w:p>
    <w:p>
      <w:pPr>
        <w:pStyle w:val="BodyText"/>
        <w:numPr>
          <w:ilvl w:val="0"/>
          <w:numId w:val="1"/>
        </w:numPr>
        <w:tabs>
          <w:tab w:val="clear" w:pos="1134"/>
          <w:tab w:val="left" w:pos="709" w:leader="none"/>
        </w:tabs>
        <w:bidi w:val="0"/>
        <w:spacing w:before="0" w:after="0"/>
        <w:ind w:hanging="283" w:left="709"/>
        <w:jc w:val="left"/>
        <w:rPr/>
      </w:pPr>
      <w:r>
        <w:rPr>
          <w:b/>
        </w:rPr>
        <w:t>Periodic access review:</w:t>
      </w:r>
      <w:r>
        <w:rPr/>
        <w:t xml:space="preserve"> quarterly, review the Identity Service's user and role assignments for anyone with Group-wide scope who no longer needs it, and any account that has been inactive for an extended period — lock or deactivate as appropriate. </w:t>
      </w:r>
    </w:p>
    <w:p>
      <w:pPr>
        <w:pStyle w:val="BodyText"/>
        <w:numPr>
          <w:ilvl w:val="0"/>
          <w:numId w:val="1"/>
        </w:numPr>
        <w:tabs>
          <w:tab w:val="clear" w:pos="1134"/>
          <w:tab w:val="left" w:pos="709" w:leader="none"/>
        </w:tabs>
        <w:bidi w:val="0"/>
        <w:spacing w:before="0" w:after="0"/>
        <w:ind w:hanging="283" w:left="709"/>
        <w:jc w:val="left"/>
        <w:rPr/>
      </w:pPr>
      <w:r>
        <w:rPr>
          <w:b/>
        </w:rPr>
        <w:t>Role/permission catalogue changes:</w:t>
      </w:r>
      <w:r>
        <w:rPr/>
        <w:t xml:space="preserve"> the role catalogue is seeded from 04_Software Requirements Specification, Section 2.3 at deployment (08_Database Design Document, Section 14). Adding a new permission requires a code change (a new permission code recognized by the relevant service's authorization checks), not just a database edit — do not insert permission rows directly into the database, since the service enforcing that permission will not recognize a code it wasn't built to check. </w:t>
      </w:r>
    </w:p>
    <w:p>
      <w:pPr>
        <w:pStyle w:val="BodyText"/>
        <w:numPr>
          <w:ilvl w:val="0"/>
          <w:numId w:val="1"/>
        </w:numPr>
        <w:tabs>
          <w:tab w:val="clear" w:pos="1134"/>
          <w:tab w:val="left" w:pos="709" w:leader="none"/>
        </w:tabs>
        <w:bidi w:val="0"/>
        <w:ind w:hanging="283" w:left="709"/>
        <w:jc w:val="left"/>
        <w:rPr/>
      </w:pPr>
      <w:r>
        <w:rPr>
          <w:b/>
        </w:rPr>
        <w:t>Locked accounts:</w:t>
      </w:r>
      <w:r>
        <w:rPr/>
        <w:t xml:space="preserve"> an account locks automatically after repeated failed logins (FR-AUTH-06). Before unlocking, confirm with the user that the failed attempts were their own — repeated failures from an unfamiliar IP address (visible in the audit trail, Section 9) may indicate a credential-guessing attempt rather than a forgotten password. </w:t>
      </w:r>
    </w:p>
    <w:p>
      <w:pPr>
        <w:pStyle w:val="Heading2"/>
        <w:bidi w:val="0"/>
        <w:jc w:val="left"/>
        <w:rPr/>
      </w:pPr>
      <w:r>
        <w:rPr/>
        <w:t>5. Monitoring and Health Checks</w:t>
      </w:r>
    </w:p>
    <w:p>
      <w:pPr>
        <w:pStyle w:val="BodyText"/>
        <w:bidi w:val="0"/>
        <w:jc w:val="left"/>
        <w:rPr/>
      </w:pPr>
      <w:r>
        <w:rPr/>
        <w:t>Per 07_System Design Document, Section 8, the full observability stack is Phase 1 infrastructure, not an optional extra:</w:t>
      </w:r>
    </w:p>
    <w:tbl>
      <w:tblPr>
        <w:tblW w:w="11339" w:type="dxa"/>
        <w:jc w:val="left"/>
        <w:tblInd w:w="28" w:type="dxa"/>
        <w:tblLayout w:type="fixed"/>
        <w:tblCellMar>
          <w:top w:w="28" w:type="dxa"/>
          <w:left w:w="28" w:type="dxa"/>
          <w:bottom w:w="28" w:type="dxa"/>
          <w:right w:w="28" w:type="dxa"/>
        </w:tblCellMar>
      </w:tblPr>
      <w:tblGrid>
        <w:gridCol w:w="2774"/>
        <w:gridCol w:w="8565"/>
      </w:tblGrid>
      <w:tr>
        <w:trPr/>
        <w:tc>
          <w:tcPr>
            <w:tcW w:w="2774" w:type="dxa"/>
            <w:tcBorders/>
            <w:vAlign w:val="center"/>
          </w:tcPr>
          <w:p>
            <w:pPr>
              <w:pStyle w:val="TableHeading"/>
              <w:suppressLineNumbers/>
              <w:shd w:fill="1F3864" w:val="clear"/>
              <w:bidi w:val="0"/>
              <w:spacing w:before="0" w:after="283"/>
              <w:jc w:val="left"/>
              <w:rPr/>
            </w:pPr>
            <w:r>
              <w:rPr/>
              <w:t>Tool</w:t>
            </w:r>
          </w:p>
        </w:tc>
        <w:tc>
          <w:tcPr>
            <w:tcW w:w="8565" w:type="dxa"/>
            <w:tcBorders/>
            <w:vAlign w:val="center"/>
          </w:tcPr>
          <w:p>
            <w:pPr>
              <w:pStyle w:val="TableHeading"/>
              <w:suppressLineNumbers/>
              <w:shd w:fill="1F3864" w:val="clear"/>
              <w:bidi w:val="0"/>
              <w:spacing w:before="0" w:after="283"/>
              <w:jc w:val="left"/>
              <w:rPr/>
            </w:pPr>
            <w:r>
              <w:rPr/>
              <w:t>What to Check, and How Often</w:t>
            </w:r>
          </w:p>
        </w:tc>
      </w:tr>
      <w:tr>
        <w:trPr/>
        <w:tc>
          <w:tcPr>
            <w:tcW w:w="2774" w:type="dxa"/>
            <w:tcBorders/>
            <w:vAlign w:val="center"/>
          </w:tcPr>
          <w:p>
            <w:pPr>
              <w:pStyle w:val="TableContents"/>
              <w:bidi w:val="0"/>
              <w:spacing w:before="0" w:after="283"/>
              <w:jc w:val="left"/>
              <w:rPr/>
            </w:pPr>
            <w:r>
              <w:rPr/>
              <w:t>Prometheus / Grafana</w:t>
            </w:r>
          </w:p>
        </w:tc>
        <w:tc>
          <w:tcPr>
            <w:tcW w:w="8565" w:type="dxa"/>
            <w:tcBorders/>
            <w:vAlign w:val="center"/>
          </w:tcPr>
          <w:p>
            <w:pPr>
              <w:pStyle w:val="TableContents"/>
              <w:bidi w:val="0"/>
              <w:spacing w:before="0" w:after="283"/>
              <w:jc w:val="left"/>
              <w:rPr/>
            </w:pPr>
            <w:r>
              <w:rPr/>
              <w:t>Daily: request rate, error rate and latency per service. A sustained error-rate spike on one service is the earliest signal of a problem, often before any user reports it.</w:t>
            </w:r>
          </w:p>
        </w:tc>
      </w:tr>
      <w:tr>
        <w:trPr/>
        <w:tc>
          <w:tcPr>
            <w:tcW w:w="2774" w:type="dxa"/>
            <w:tcBorders/>
            <w:vAlign w:val="center"/>
          </w:tcPr>
          <w:p>
            <w:pPr>
              <w:pStyle w:val="TableContents"/>
              <w:bidi w:val="0"/>
              <w:spacing w:before="0" w:after="283"/>
              <w:jc w:val="left"/>
              <w:rPr/>
            </w:pPr>
            <w:r>
              <w:rPr/>
              <w:t>Jaeger</w:t>
            </w:r>
          </w:p>
        </w:tc>
        <w:tc>
          <w:tcPr>
            <w:tcW w:w="8565" w:type="dxa"/>
            <w:tcBorders/>
            <w:vAlign w:val="center"/>
          </w:tcPr>
          <w:p>
            <w:pPr>
              <w:pStyle w:val="TableContents"/>
              <w:bidi w:val="0"/>
              <w:spacing w:before="0" w:after="283"/>
              <w:jc w:val="left"/>
              <w:rPr/>
            </w:pPr>
            <w:r>
              <w:rPr/>
              <w:t>When investigating a specific reported issue: trace the affected request across the Gateway and services to see exactly where time was spent or where it failed.</w:t>
            </w:r>
          </w:p>
        </w:tc>
      </w:tr>
      <w:tr>
        <w:trPr/>
        <w:tc>
          <w:tcPr>
            <w:tcW w:w="2774" w:type="dxa"/>
            <w:tcBorders/>
            <w:vAlign w:val="center"/>
          </w:tcPr>
          <w:p>
            <w:pPr>
              <w:pStyle w:val="TableContents"/>
              <w:bidi w:val="0"/>
              <w:spacing w:before="0" w:after="283"/>
              <w:jc w:val="left"/>
              <w:rPr/>
            </w:pPr>
            <w:r>
              <w:rPr/>
              <w:t>EFK Stack</w:t>
            </w:r>
          </w:p>
        </w:tc>
        <w:tc>
          <w:tcPr>
            <w:tcW w:w="8565" w:type="dxa"/>
            <w:tcBorders/>
            <w:vAlign w:val="center"/>
          </w:tcPr>
          <w:p>
            <w:pPr>
              <w:pStyle w:val="TableContents"/>
              <w:bidi w:val="0"/>
              <w:spacing w:before="0" w:after="283"/>
              <w:jc w:val="left"/>
              <w:rPr/>
            </w:pPr>
            <w:r>
              <w:rPr/>
              <w:t>When investigating: search logs across all eight services in one place by request ID, user ID, or company ID, rather than checking each service's logs individually.</w:t>
            </w:r>
          </w:p>
        </w:tc>
      </w:tr>
      <w:tr>
        <w:trPr/>
        <w:tc>
          <w:tcPr>
            <w:tcW w:w="2774" w:type="dxa"/>
            <w:tcBorders/>
            <w:vAlign w:val="center"/>
          </w:tcPr>
          <w:p>
            <w:pPr>
              <w:pStyle w:val="TableContents"/>
              <w:bidi w:val="0"/>
              <w:spacing w:before="0" w:after="283"/>
              <w:jc w:val="left"/>
              <w:rPr/>
            </w:pPr>
            <w:r>
              <w:rPr/>
              <w:t>Kafka consumer lag (Audit &amp; Reporting Service)</w:t>
            </w:r>
          </w:p>
        </w:tc>
        <w:tc>
          <w:tcPr>
            <w:tcW w:w="8565" w:type="dxa"/>
            <w:tcBorders/>
            <w:vAlign w:val="center"/>
          </w:tcPr>
          <w:p>
            <w:pPr>
              <w:pStyle w:val="TableContents"/>
              <w:bidi w:val="0"/>
              <w:spacing w:before="0" w:after="283"/>
              <w:jc w:val="left"/>
              <w:rPr/>
            </w:pPr>
            <w:r>
              <w:rPr/>
              <w:t>Weekly, and immediately after any incident: growing lag means the audit trail and dashboards are falling behind real system activity (08_Database Design Document, Section 13).</w:t>
            </w:r>
          </w:p>
        </w:tc>
      </w:tr>
    </w:tbl>
    <w:p>
      <w:pPr>
        <w:pStyle w:val="Heading2"/>
        <w:bidi w:val="0"/>
        <w:jc w:val="left"/>
        <w:rPr/>
      </w:pPr>
      <w:r>
        <w:rPr/>
        <w:t>6. Backup and Restore</w:t>
      </w:r>
    </w:p>
    <w:p>
      <w:pPr>
        <w:pStyle w:val="BodyText"/>
        <w:numPr>
          <w:ilvl w:val="0"/>
          <w:numId w:val="2"/>
        </w:numPr>
        <w:tabs>
          <w:tab w:val="clear" w:pos="1134"/>
          <w:tab w:val="left" w:pos="709" w:leader="none"/>
        </w:tabs>
        <w:bidi w:val="0"/>
        <w:spacing w:before="0" w:after="0"/>
        <w:ind w:hanging="283" w:left="709"/>
        <w:jc w:val="left"/>
        <w:rPr/>
      </w:pPr>
      <w:r>
        <w:rPr/>
        <w:t xml:space="preserve">Each service's PostgreSQL database is backed up automatically on a daily schedule (NFR-06). Confirm backups are actually completing — a scheduled backup that silently fails is worse than no backup, because it creates false confidence. </w:t>
      </w:r>
    </w:p>
    <w:p>
      <w:pPr>
        <w:pStyle w:val="BodyText"/>
        <w:numPr>
          <w:ilvl w:val="0"/>
          <w:numId w:val="2"/>
        </w:numPr>
        <w:tabs>
          <w:tab w:val="clear" w:pos="1134"/>
          <w:tab w:val="left" w:pos="709" w:leader="none"/>
        </w:tabs>
        <w:bidi w:val="0"/>
        <w:spacing w:before="0" w:after="0"/>
        <w:ind w:hanging="283" w:left="709"/>
        <w:jc w:val="left"/>
        <w:rPr/>
      </w:pPr>
      <w:r>
        <w:rPr/>
        <w:t xml:space="preserve">Restoration was verified before go-live (10_Test Plan, TC-027) and again during Alpha testing (13_Alpha Test Plan, Section 5.3). Re-verify restoration periodically (recommended: quarterly) against a non-production instance, not only once at launch. </w:t>
      </w:r>
    </w:p>
    <w:p>
      <w:pPr>
        <w:pStyle w:val="BodyText"/>
        <w:numPr>
          <w:ilvl w:val="0"/>
          <w:numId w:val="2"/>
        </w:numPr>
        <w:tabs>
          <w:tab w:val="clear" w:pos="1134"/>
          <w:tab w:val="left" w:pos="709" w:leader="none"/>
        </w:tabs>
        <w:bidi w:val="0"/>
        <w:ind w:hanging="283" w:left="709"/>
        <w:jc w:val="left"/>
        <w:rPr/>
      </w:pPr>
      <w:r>
        <w:rPr/>
        <w:t xml:space="preserve">Financial data (Accounting Service) is never restored by overwriting recent transactions without Finance Manager sign-off — a restore that would roll back posted journal entries is a Finance decision, not solely a technical one. </w:t>
      </w:r>
    </w:p>
    <w:p>
      <w:pPr>
        <w:pStyle w:val="Heading2"/>
        <w:bidi w:val="0"/>
        <w:jc w:val="left"/>
        <w:rPr/>
      </w:pPr>
      <w:r>
        <w:rPr/>
        <w:t>7. Incident Response Runbooks</w:t>
      </w:r>
    </w:p>
    <w:p>
      <w:pPr>
        <w:pStyle w:val="BodyText"/>
        <w:bidi w:val="0"/>
        <w:jc w:val="left"/>
        <w:rPr/>
      </w:pPr>
      <w:r>
        <w:rPr/>
        <w:t>These procedures were exercised and confirmed during Alpha testing (13_Alpha Test Plan, Section 5.3) before go-live — they are not untested theory.</w:t>
      </w:r>
    </w:p>
    <w:p>
      <w:pPr>
        <w:pStyle w:val="Heading3"/>
        <w:bidi w:val="0"/>
        <w:jc w:val="left"/>
        <w:rPr/>
      </w:pPr>
      <w:r>
        <w:rPr/>
        <w:t>7.1 A Service Is Down or Unhealthy</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Grafana for which service is failing health checks.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ECS should already be restarting the failed task automatically — confirm this is happening rather than intervening immediately.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service does not recover automatically within a few minutes, check its logs (EFK) for the underlying cause before forcing a manual restart.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cause is a bad recent deployment, proceed to Section 7.2 (rollback) rather than continuing to restart the same broken version. </w:t>
      </w:r>
    </w:p>
    <w:p>
      <w:pPr>
        <w:pStyle w:val="Heading3"/>
        <w:bidi w:val="0"/>
        <w:ind w:hanging="0"/>
        <w:jc w:val="left"/>
        <w:rPr/>
      </w:pPr>
      <w:r>
        <w:rPr/>
        <w:t>7.2 Rolling Back a Bad Deployment</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Identify the affected service and the last known-good image tag (via the CI/CD pipeline history, 11_Deployment Plan, Section 5).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Redeploy that previous image tag through the same pipeline — do not hand-edit production.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Because migrations are additive-first (11_Deployment Plan, Section 4), the previous application version should continue to work against the current schema without a database rollback.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smoke tests (10_Test Plan, Section 8 subset relevant to that service) that the rollback resolved the issue. </w:t>
      </w:r>
    </w:p>
    <w:p>
      <w:pPr>
        <w:pStyle w:val="Heading3"/>
        <w:bidi w:val="0"/>
        <w:ind w:hanging="0"/>
        <w:jc w:val="left"/>
        <w:rPr/>
      </w:pPr>
      <w:r>
        <w:rPr/>
        <w:t>7.3 Kafka Consumer Lag or Downtime (Audit &amp; Reporting Service)</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Grafana/consumer-lag metrics whether the Audit &amp; Reporting Service's consumer is behind or stopped.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stopped, restart it — queued events remain in Kafka and will be processed on recovery; no data is lost (verified in 13_Alpha Test Plan, Section 5.3 and 10_Test Plan, TC-032).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merely lagging under load, monitor rather than intervene — this affects how current the audit trail and dashboards appear, not data integrity, and should catch up once the load subsides. </w:t>
      </w:r>
    </w:p>
    <w:p>
      <w:pPr>
        <w:pStyle w:val="Heading3"/>
        <w:bidi w:val="0"/>
        <w:ind w:hanging="0"/>
        <w:jc w:val="left"/>
        <w:rPr/>
      </w:pPr>
      <w:r>
        <w:rPr/>
        <w:t>7.4 Suspected Unauthorized Access</w:t>
      </w:r>
    </w:p>
    <w:p>
      <w:pPr>
        <w:pStyle w:val="BodyText"/>
        <w:numPr>
          <w:ilvl w:val="0"/>
          <w:numId w:val="6"/>
        </w:numPr>
        <w:tabs>
          <w:tab w:val="clear" w:pos="1134"/>
          <w:tab w:val="left" w:pos="829" w:leader="none"/>
        </w:tabs>
        <w:bidi w:val="0"/>
        <w:spacing w:before="120" w:after="120"/>
        <w:ind w:hanging="283" w:left="829" w:right="120"/>
        <w:jc w:val="left"/>
        <w:rPr/>
      </w:pPr>
      <w:r>
        <w:rPr>
          <w:shd w:fill="F2F5FA" w:val="clear"/>
        </w:rPr>
        <w:t xml:space="preserve">Search the Audit Trail (14_User Manual, Section 8) for the account and time window in question, including any </w:t>
      </w:r>
      <w:r>
        <w:rPr>
          <w:rStyle w:val="SourceText"/>
          <w:shd w:fill="F2F5FA" w:val="clear"/>
        </w:rPr>
        <w:t>access_denied</w:t>
      </w:r>
      <w:r>
        <w:rPr>
          <w:shd w:fill="F2F5FA" w:val="clear"/>
        </w:rPr>
        <w:t xml:space="preserve"> entries.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Lock the affected account immediately (Section 4) while investigating.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Identity Service logs for the source IP address of the suspicious logins.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confirmed unauthorized, reset the account's password and review what data that account's role/scope could have accessed during the incident window. </w:t>
      </w:r>
    </w:p>
    <w:p>
      <w:pPr>
        <w:pStyle w:val="Heading2"/>
        <w:bidi w:val="0"/>
        <w:ind w:hanging="0"/>
        <w:jc w:val="left"/>
        <w:rPr/>
      </w:pPr>
      <w:r>
        <w:rPr/>
        <w:t>8. Release and Deployment Administration</w:t>
      </w:r>
    </w:p>
    <w:p>
      <w:pPr>
        <w:pStyle w:val="BodyText"/>
        <w:bidi w:val="0"/>
        <w:jc w:val="left"/>
        <w:rPr/>
      </w:pPr>
      <w:r>
        <w:rPr/>
        <w:t>Per 11_Deployment Plan, Sections 5–6: releases are per-service, via GitLab CI, using rolling ECS deployments with automatic health-check-gated rollout. As administrator, your role in a routine release is to monitor the pipeline and Grafana during and after deployment (Section 5 above), not to perform the deployment steps manually. Manual production changes outside the pipeline are not supported and break the assumption that what's running matches what's in version control.</w:t>
      </w:r>
    </w:p>
    <w:p>
      <w:pPr>
        <w:pStyle w:val="Heading2"/>
        <w:bidi w:val="0"/>
        <w:jc w:val="left"/>
        <w:rPr/>
      </w:pPr>
      <w:r>
        <w:rPr/>
        <w:t>9. Data Administration</w:t>
      </w:r>
    </w:p>
    <w:p>
      <w:pPr>
        <w:pStyle w:val="BodyText"/>
        <w:numPr>
          <w:ilvl w:val="0"/>
          <w:numId w:val="7"/>
        </w:numPr>
        <w:tabs>
          <w:tab w:val="clear" w:pos="1134"/>
          <w:tab w:val="left" w:pos="709" w:leader="none"/>
        </w:tabs>
        <w:bidi w:val="0"/>
        <w:spacing w:before="0" w:after="0"/>
        <w:ind w:hanging="283" w:left="709"/>
        <w:jc w:val="left"/>
        <w:rPr/>
      </w:pPr>
      <w:r>
        <w:rPr>
          <w:b/>
        </w:rPr>
        <w:t>Seed data:</w:t>
      </w:r>
      <w:r>
        <w:rPr/>
        <w:t xml:space="preserve"> the role/permission catalogue is seeded once at initial deployment (08_Database Design Document, Section 14) — do not re-seed into a live environment without understanding what will be overwritten. </w:t>
      </w:r>
    </w:p>
    <w:p>
      <w:pPr>
        <w:pStyle w:val="BodyText"/>
        <w:numPr>
          <w:ilvl w:val="0"/>
          <w:numId w:val="7"/>
        </w:numPr>
        <w:tabs>
          <w:tab w:val="clear" w:pos="1134"/>
          <w:tab w:val="left" w:pos="709" w:leader="none"/>
        </w:tabs>
        <w:bidi w:val="0"/>
        <w:spacing w:before="0" w:after="0"/>
        <w:ind w:hanging="283" w:left="709"/>
        <w:jc w:val="left"/>
        <w:rPr/>
      </w:pPr>
      <w:r>
        <w:rPr>
          <w:b/>
        </w:rPr>
        <w:t>Opening balances and company data migration:</w:t>
      </w:r>
      <w:r>
        <w:rPr/>
        <w:t xml:space="preserve"> follow the sequence and validation steps in 08_Database Design Document, Section 14 and 11_Deployment Plan, Section 7 exactly — Organization data first, then Identity, then Employee/Customer/Supplier/Product, then Accounting last. </w:t>
      </w:r>
    </w:p>
    <w:p>
      <w:pPr>
        <w:pStyle w:val="BodyText"/>
        <w:numPr>
          <w:ilvl w:val="0"/>
          <w:numId w:val="7"/>
        </w:numPr>
        <w:tabs>
          <w:tab w:val="clear" w:pos="1134"/>
          <w:tab w:val="left" w:pos="709" w:leader="none"/>
        </w:tabs>
        <w:bidi w:val="0"/>
        <w:ind w:hanging="283" w:left="709"/>
        <w:jc w:val="left"/>
        <w:rPr/>
      </w:pPr>
      <w:r>
        <w:rPr>
          <w:b/>
        </w:rPr>
        <w:t>Cross-service data corrections:</w:t>
      </w:r>
      <w:r>
        <w:rPr/>
        <w:t xml:space="preserve"> because there are no database-level foreign keys between services (08_Database Design Document, Section 11), a bad reference (e.g. an employee pointing to a company_id that no longer exists) will not be caught by the database — periodically spot-check for orphaned logical references, since nothing else will. </w:t>
      </w:r>
    </w:p>
    <w:p>
      <w:pPr>
        <w:pStyle w:val="Heading2"/>
        <w:bidi w:val="0"/>
        <w:jc w:val="left"/>
        <w:rPr/>
      </w:pPr>
      <w:r>
        <w:rPr/>
        <w:t>10. Security Administration</w:t>
      </w:r>
    </w:p>
    <w:p>
      <w:pPr>
        <w:pStyle w:val="BodyText"/>
        <w:numPr>
          <w:ilvl w:val="0"/>
          <w:numId w:val="8"/>
        </w:numPr>
        <w:tabs>
          <w:tab w:val="clear" w:pos="1134"/>
          <w:tab w:val="left" w:pos="709" w:leader="none"/>
        </w:tabs>
        <w:bidi w:val="0"/>
        <w:spacing w:before="0" w:after="0"/>
        <w:ind w:hanging="283" w:left="709"/>
        <w:jc w:val="left"/>
        <w:rPr/>
      </w:pPr>
      <w:r>
        <w:rPr/>
        <w:t xml:space="preserve">Review failed-login and account-lockout patterns in the Audit Trail periodically, not only when a user reports a problem (Section 4). </w:t>
      </w:r>
    </w:p>
    <w:p>
      <w:pPr>
        <w:pStyle w:val="BodyText"/>
        <w:numPr>
          <w:ilvl w:val="0"/>
          <w:numId w:val="8"/>
        </w:numPr>
        <w:tabs>
          <w:tab w:val="clear" w:pos="1134"/>
          <w:tab w:val="left" w:pos="709" w:leader="none"/>
        </w:tabs>
        <w:bidi w:val="0"/>
        <w:spacing w:before="0" w:after="0"/>
        <w:ind w:hanging="283" w:left="709"/>
        <w:jc w:val="left"/>
        <w:rPr/>
      </w:pPr>
      <w:r>
        <w:rPr/>
        <w:t xml:space="preserve">Rate limiting on </w:t>
      </w:r>
      <w:r>
        <w:rPr>
          <w:rStyle w:val="SourceText"/>
        </w:rPr>
        <w:t>/auth/login</w:t>
      </w:r>
      <w:r>
        <w:rPr/>
        <w:t xml:space="preserve"> and password-reset endpoints (09_API Specification, Section 2.6) is a starting point (10 requests/minute per IP) — tune based on observed legitimate vs. abusive traffic once real usage data exists. </w:t>
      </w:r>
    </w:p>
    <w:p>
      <w:pPr>
        <w:pStyle w:val="BodyText"/>
        <w:numPr>
          <w:ilvl w:val="0"/>
          <w:numId w:val="8"/>
        </w:numPr>
        <w:tabs>
          <w:tab w:val="clear" w:pos="1134"/>
          <w:tab w:val="left" w:pos="709" w:leader="none"/>
        </w:tabs>
        <w:bidi w:val="0"/>
        <w:spacing w:before="0" w:after="0"/>
        <w:ind w:hanging="283" w:left="709"/>
        <w:jc w:val="left"/>
        <w:rPr/>
      </w:pPr>
      <w:r>
        <w:rPr/>
        <w:t xml:space="preserve">Employee and supplier bank/tax fields are encrypted at rest and access-restricted (08_Database Design Document, Sections 5, 7); do not grant broad "view all fields" permissions to roles that do not specifically need them, per FR-USER-08. </w:t>
      </w:r>
    </w:p>
    <w:p>
      <w:pPr>
        <w:pStyle w:val="BodyText"/>
        <w:numPr>
          <w:ilvl w:val="0"/>
          <w:numId w:val="8"/>
        </w:numPr>
        <w:tabs>
          <w:tab w:val="clear" w:pos="1134"/>
          <w:tab w:val="left" w:pos="709" w:leader="none"/>
        </w:tabs>
        <w:bidi w:val="0"/>
        <w:ind w:hanging="283" w:left="709"/>
        <w:jc w:val="left"/>
        <w:rPr/>
      </w:pPr>
      <w:r>
        <w:rPr/>
        <w:t xml:space="preserve">Given the system holds personal data on employees, customers and suppliers, periodic review against Uganda's Data Protection and Privacy Act, 2019 obligations is recommended, per 03_Feasibility Study, Section 7 — this is a legal/compliance review, not only a technical one, and should involve qualified counsel. </w:t>
      </w:r>
    </w:p>
    <w:p>
      <w:pPr>
        <w:pStyle w:val="Heading2"/>
        <w:bidi w:val="0"/>
        <w:jc w:val="left"/>
        <w:rPr/>
      </w:pPr>
      <w:r>
        <w:rPr/>
        <w:t>11. Maintenance Windows and Communication</w:t>
      </w:r>
    </w:p>
    <w:p>
      <w:pPr>
        <w:pStyle w:val="BodyText"/>
        <w:bidi w:val="0"/>
        <w:jc w:val="left"/>
        <w:rPr/>
      </w:pPr>
      <w:r>
        <w:rPr/>
        <w:t>Because each service deploys independently with a rolling, health-check-gated strategy (Section 8), routine releases do not require a scheduled downtime window. Reserve a communicated maintenance window only for changes that cannot be done as a rolling deploy (e.g. a cross-service infrastructure change affecting Kafka or the API Gateway itself) — notify affected subsidiaries in advance, consistent with 11_Deployment Plan, Section 9's communication approach for the go-live rollout.</w:t>
      </w:r>
    </w:p>
    <w:p>
      <w:pPr>
        <w:pStyle w:val="Heading2"/>
        <w:bidi w:val="0"/>
        <w:jc w:val="left"/>
        <w:rPr/>
      </w:pPr>
      <w:r>
        <w:rPr/>
        <w:t>12. Escalation and Support</w:t>
      </w:r>
    </w:p>
    <w:tbl>
      <w:tblPr>
        <w:tblW w:w="11339" w:type="dxa"/>
        <w:jc w:val="left"/>
        <w:tblInd w:w="28" w:type="dxa"/>
        <w:tblLayout w:type="fixed"/>
        <w:tblCellMar>
          <w:top w:w="28" w:type="dxa"/>
          <w:left w:w="28" w:type="dxa"/>
          <w:bottom w:w="28" w:type="dxa"/>
          <w:right w:w="28" w:type="dxa"/>
        </w:tblCellMar>
      </w:tblPr>
      <w:tblGrid>
        <w:gridCol w:w="4289"/>
        <w:gridCol w:w="7050"/>
      </w:tblGrid>
      <w:tr>
        <w:trPr/>
        <w:tc>
          <w:tcPr>
            <w:tcW w:w="4289" w:type="dxa"/>
            <w:tcBorders/>
            <w:vAlign w:val="center"/>
          </w:tcPr>
          <w:p>
            <w:pPr>
              <w:pStyle w:val="TableHeading"/>
              <w:suppressLineNumbers/>
              <w:shd w:fill="1F3864" w:val="clear"/>
              <w:bidi w:val="0"/>
              <w:spacing w:before="0" w:after="283"/>
              <w:jc w:val="left"/>
              <w:rPr/>
            </w:pPr>
            <w:r>
              <w:rPr/>
              <w:t>Situation</w:t>
            </w:r>
          </w:p>
        </w:tc>
        <w:tc>
          <w:tcPr>
            <w:tcW w:w="7050" w:type="dxa"/>
            <w:tcBorders/>
            <w:vAlign w:val="center"/>
          </w:tcPr>
          <w:p>
            <w:pPr>
              <w:pStyle w:val="TableHeading"/>
              <w:suppressLineNumbers/>
              <w:shd w:fill="1F3864" w:val="clear"/>
              <w:bidi w:val="0"/>
              <w:spacing w:before="0" w:after="283"/>
              <w:jc w:val="left"/>
              <w:rPr/>
            </w:pPr>
            <w:r>
              <w:rPr/>
              <w:t>Escalate To</w:t>
            </w:r>
          </w:p>
        </w:tc>
      </w:tr>
      <w:tr>
        <w:trPr/>
        <w:tc>
          <w:tcPr>
            <w:tcW w:w="4289" w:type="dxa"/>
            <w:tcBorders/>
            <w:vAlign w:val="center"/>
          </w:tcPr>
          <w:p>
            <w:pPr>
              <w:pStyle w:val="TableContents"/>
              <w:bidi w:val="0"/>
              <w:spacing w:before="0" w:after="283"/>
              <w:jc w:val="left"/>
              <w:rPr/>
            </w:pPr>
            <w:r>
              <w:rPr/>
              <w:t>Service outage not resolved by Section 7.1–7.3 within a reasonable time</w:t>
            </w:r>
          </w:p>
        </w:tc>
        <w:tc>
          <w:tcPr>
            <w:tcW w:w="7050" w:type="dxa"/>
            <w:tcBorders/>
            <w:vAlign w:val="center"/>
          </w:tcPr>
          <w:p>
            <w:pPr>
              <w:pStyle w:val="TableContents"/>
              <w:bidi w:val="0"/>
              <w:spacing w:before="0" w:after="283"/>
              <w:jc w:val="left"/>
              <w:rPr/>
            </w:pPr>
            <w:r>
              <w:rPr/>
              <w:t xml:space="preserve">Development team/technology partner on-call contact </w:t>
            </w:r>
            <w:r>
              <w:rPr>
                <w:i/>
              </w:rPr>
              <w:t>(to be confirmed once the team is engaged, per 03_Feasibility Study, Section 3.4)</w:t>
            </w:r>
          </w:p>
        </w:tc>
      </w:tr>
      <w:tr>
        <w:trPr/>
        <w:tc>
          <w:tcPr>
            <w:tcW w:w="4289" w:type="dxa"/>
            <w:tcBorders/>
            <w:vAlign w:val="center"/>
          </w:tcPr>
          <w:p>
            <w:pPr>
              <w:pStyle w:val="TableContents"/>
              <w:bidi w:val="0"/>
              <w:spacing w:before="0" w:after="283"/>
              <w:jc w:val="left"/>
              <w:rPr/>
            </w:pPr>
            <w:r>
              <w:rPr/>
              <w:t>Suspected data integrity issue in financial records</w:t>
            </w:r>
          </w:p>
        </w:tc>
        <w:tc>
          <w:tcPr>
            <w:tcW w:w="7050" w:type="dxa"/>
            <w:tcBorders/>
            <w:vAlign w:val="center"/>
          </w:tcPr>
          <w:p>
            <w:pPr>
              <w:pStyle w:val="TableContents"/>
              <w:bidi w:val="0"/>
              <w:spacing w:before="0" w:after="283"/>
              <w:jc w:val="left"/>
              <w:rPr/>
            </w:pPr>
            <w:r>
              <w:rPr/>
              <w:t>Finance Manager, before any corrective action is taken</w:t>
            </w:r>
          </w:p>
        </w:tc>
      </w:tr>
      <w:tr>
        <w:trPr/>
        <w:tc>
          <w:tcPr>
            <w:tcW w:w="4289" w:type="dxa"/>
            <w:tcBorders/>
            <w:vAlign w:val="center"/>
          </w:tcPr>
          <w:p>
            <w:pPr>
              <w:pStyle w:val="TableContents"/>
              <w:bidi w:val="0"/>
              <w:spacing w:before="0" w:after="283"/>
              <w:jc w:val="left"/>
              <w:rPr/>
            </w:pPr>
            <w:r>
              <w:rPr/>
              <w:t>Suspected security incident (Section 7.4)</w:t>
            </w:r>
          </w:p>
        </w:tc>
        <w:tc>
          <w:tcPr>
            <w:tcW w:w="7050" w:type="dxa"/>
            <w:tcBorders/>
            <w:vAlign w:val="center"/>
          </w:tcPr>
          <w:p>
            <w:pPr>
              <w:pStyle w:val="TableContents"/>
              <w:bidi w:val="0"/>
              <w:spacing w:before="0" w:after="283"/>
              <w:jc w:val="left"/>
              <w:rPr/>
            </w:pPr>
            <w:r>
              <w:rPr/>
              <w:t>Managing Director and Director, in addition to technical containment steps</w:t>
            </w:r>
          </w:p>
        </w:tc>
      </w:tr>
      <w:tr>
        <w:trPr/>
        <w:tc>
          <w:tcPr>
            <w:tcW w:w="4289" w:type="dxa"/>
            <w:tcBorders/>
            <w:vAlign w:val="center"/>
          </w:tcPr>
          <w:p>
            <w:pPr>
              <w:pStyle w:val="TableContents"/>
              <w:bidi w:val="0"/>
              <w:spacing w:before="0" w:after="283"/>
              <w:jc w:val="left"/>
              <w:rPr/>
            </w:pPr>
            <w:r>
              <w:rPr/>
              <w:t>Governance/funding-related blocker (e.g. infrastructure spend approval)</w:t>
            </w:r>
          </w:p>
        </w:tc>
        <w:tc>
          <w:tcPr>
            <w:tcW w:w="7050" w:type="dxa"/>
            <w:tcBorders/>
            <w:vAlign w:val="center"/>
          </w:tcPr>
          <w:p>
            <w:pPr>
              <w:pStyle w:val="TableContents"/>
              <w:bidi w:val="0"/>
              <w:spacing w:before="0" w:after="283"/>
              <w:jc w:val="left"/>
              <w:rPr/>
            </w:pPr>
            <w:r>
              <w:rPr/>
              <w:t>Board of Directors, per the signatory arrangements in the 2019 Board Resolution</w:t>
            </w:r>
          </w:p>
        </w:tc>
      </w:tr>
    </w:tbl>
    <w:p>
      <w:pPr>
        <w:pStyle w:val="Heading2"/>
        <w:bidi w:val="0"/>
        <w:jc w:val="left"/>
        <w:rPr/>
      </w:pPr>
      <w:r>
        <w:rPr/>
        <w:t>13. Technical Error Code Reference</w:t>
      </w:r>
    </w:p>
    <w:p>
      <w:pPr>
        <w:pStyle w:val="BodyText"/>
        <w:bidi w:val="0"/>
        <w:jc w:val="left"/>
        <w:rPr/>
      </w:pPr>
      <w:r>
        <w:rPr/>
        <w:t>For the plain-language, end-user version of this table, see 14_User Manual, Section 9. This version is for diagnosing the underlying cause:</w:t>
      </w:r>
    </w:p>
    <w:tbl>
      <w:tblPr>
        <w:tblW w:w="11339" w:type="dxa"/>
        <w:jc w:val="left"/>
        <w:tblInd w:w="28" w:type="dxa"/>
        <w:tblLayout w:type="fixed"/>
        <w:tblCellMar>
          <w:top w:w="28" w:type="dxa"/>
          <w:left w:w="28" w:type="dxa"/>
          <w:bottom w:w="28" w:type="dxa"/>
          <w:right w:w="28" w:type="dxa"/>
        </w:tblCellMar>
      </w:tblPr>
      <w:tblGrid>
        <w:gridCol w:w="2095"/>
        <w:gridCol w:w="1101"/>
        <w:gridCol w:w="8143"/>
      </w:tblGrid>
      <w:tr>
        <w:trPr/>
        <w:tc>
          <w:tcPr>
            <w:tcW w:w="2095" w:type="dxa"/>
            <w:tcBorders/>
            <w:vAlign w:val="center"/>
          </w:tcPr>
          <w:p>
            <w:pPr>
              <w:pStyle w:val="TableHeading"/>
              <w:suppressLineNumbers/>
              <w:shd w:fill="1F3864" w:val="clear"/>
              <w:bidi w:val="0"/>
              <w:spacing w:before="0" w:after="283"/>
              <w:jc w:val="left"/>
              <w:rPr/>
            </w:pPr>
            <w:r>
              <w:rPr/>
              <w:t>Code</w:t>
            </w:r>
          </w:p>
        </w:tc>
        <w:tc>
          <w:tcPr>
            <w:tcW w:w="1101" w:type="dxa"/>
            <w:tcBorders/>
            <w:vAlign w:val="center"/>
          </w:tcPr>
          <w:p>
            <w:pPr>
              <w:pStyle w:val="TableHeading"/>
              <w:suppressLineNumbers/>
              <w:shd w:fill="1F3864" w:val="clear"/>
              <w:bidi w:val="0"/>
              <w:spacing w:before="0" w:after="283"/>
              <w:jc w:val="left"/>
              <w:rPr/>
            </w:pPr>
            <w:r>
              <w:rPr/>
              <w:t>HTTP Status</w:t>
            </w:r>
          </w:p>
        </w:tc>
        <w:tc>
          <w:tcPr>
            <w:tcW w:w="8143" w:type="dxa"/>
            <w:tcBorders/>
            <w:vAlign w:val="center"/>
          </w:tcPr>
          <w:p>
            <w:pPr>
              <w:pStyle w:val="TableHeading"/>
              <w:suppressLineNumbers/>
              <w:shd w:fill="1F3864" w:val="clear"/>
              <w:bidi w:val="0"/>
              <w:spacing w:before="0" w:after="283"/>
              <w:jc w:val="left"/>
              <w:rPr/>
            </w:pPr>
            <w:r>
              <w:rPr/>
              <w:t>Where to Look</w:t>
            </w:r>
          </w:p>
        </w:tc>
      </w:tr>
      <w:tr>
        <w:trPr/>
        <w:tc>
          <w:tcPr>
            <w:tcW w:w="2095" w:type="dxa"/>
            <w:tcBorders/>
            <w:vAlign w:val="center"/>
          </w:tcPr>
          <w:p>
            <w:pPr>
              <w:pStyle w:val="TableContents"/>
              <w:bidi w:val="0"/>
              <w:spacing w:before="0" w:after="283"/>
              <w:jc w:val="left"/>
              <w:rPr/>
            </w:pPr>
            <w:r>
              <w:rPr/>
              <w:t>VALIDATION_ERROR</w:t>
            </w:r>
          </w:p>
        </w:tc>
        <w:tc>
          <w:tcPr>
            <w:tcW w:w="1101" w:type="dxa"/>
            <w:tcBorders/>
            <w:vAlign w:val="center"/>
          </w:tcPr>
          <w:p>
            <w:pPr>
              <w:pStyle w:val="TableContents"/>
              <w:bidi w:val="0"/>
              <w:spacing w:before="0" w:after="283"/>
              <w:jc w:val="left"/>
              <w:rPr/>
            </w:pPr>
            <w:r>
              <w:rPr/>
              <w:t>400</w:t>
            </w:r>
          </w:p>
        </w:tc>
        <w:tc>
          <w:tcPr>
            <w:tcW w:w="8143" w:type="dxa"/>
            <w:tcBorders/>
            <w:vAlign w:val="center"/>
          </w:tcPr>
          <w:p>
            <w:pPr>
              <w:pStyle w:val="TableContents"/>
              <w:bidi w:val="0"/>
              <w:spacing w:before="0" w:after="283"/>
              <w:jc w:val="left"/>
              <w:rPr/>
            </w:pPr>
            <w:r>
              <w:rPr/>
              <w:t>Request payload vs. the relevant service's schema (09_API Specification)</w:t>
            </w:r>
          </w:p>
        </w:tc>
      </w:tr>
      <w:tr>
        <w:trPr/>
        <w:tc>
          <w:tcPr>
            <w:tcW w:w="2095" w:type="dxa"/>
            <w:tcBorders/>
            <w:vAlign w:val="center"/>
          </w:tcPr>
          <w:p>
            <w:pPr>
              <w:pStyle w:val="TableContents"/>
              <w:bidi w:val="0"/>
              <w:spacing w:before="0" w:after="283"/>
              <w:jc w:val="left"/>
              <w:rPr/>
            </w:pPr>
            <w:r>
              <w:rPr/>
              <w:t>UNAUTHORIZED</w:t>
            </w:r>
          </w:p>
        </w:tc>
        <w:tc>
          <w:tcPr>
            <w:tcW w:w="1101" w:type="dxa"/>
            <w:tcBorders/>
            <w:vAlign w:val="center"/>
          </w:tcPr>
          <w:p>
            <w:pPr>
              <w:pStyle w:val="TableContents"/>
              <w:bidi w:val="0"/>
              <w:spacing w:before="0" w:after="283"/>
              <w:jc w:val="left"/>
              <w:rPr/>
            </w:pPr>
            <w:r>
              <w:rPr/>
              <w:t>401</w:t>
            </w:r>
          </w:p>
        </w:tc>
        <w:tc>
          <w:tcPr>
            <w:tcW w:w="8143" w:type="dxa"/>
            <w:tcBorders/>
            <w:vAlign w:val="center"/>
          </w:tcPr>
          <w:p>
            <w:pPr>
              <w:pStyle w:val="TableContents"/>
              <w:bidi w:val="0"/>
              <w:spacing w:before="0" w:after="283"/>
              <w:jc w:val="left"/>
              <w:rPr/>
            </w:pPr>
            <w:r>
              <w:rPr/>
              <w:t>Identity Service auth logs; check token expiry configuration</w:t>
            </w:r>
          </w:p>
        </w:tc>
      </w:tr>
      <w:tr>
        <w:trPr/>
        <w:tc>
          <w:tcPr>
            <w:tcW w:w="2095" w:type="dxa"/>
            <w:tcBorders/>
            <w:vAlign w:val="center"/>
          </w:tcPr>
          <w:p>
            <w:pPr>
              <w:pStyle w:val="TableContents"/>
              <w:bidi w:val="0"/>
              <w:spacing w:before="0" w:after="283"/>
              <w:jc w:val="left"/>
              <w:rPr/>
            </w:pPr>
            <w:r>
              <w:rPr/>
              <w:t>FORBIDDEN</w:t>
            </w:r>
          </w:p>
        </w:tc>
        <w:tc>
          <w:tcPr>
            <w:tcW w:w="1101" w:type="dxa"/>
            <w:tcBorders/>
            <w:vAlign w:val="center"/>
          </w:tcPr>
          <w:p>
            <w:pPr>
              <w:pStyle w:val="TableContents"/>
              <w:bidi w:val="0"/>
              <w:spacing w:before="0" w:after="283"/>
              <w:jc w:val="left"/>
              <w:rPr/>
            </w:pPr>
            <w:r>
              <w:rPr/>
              <w:t>403</w:t>
            </w:r>
          </w:p>
        </w:tc>
        <w:tc>
          <w:tcPr>
            <w:tcW w:w="8143" w:type="dxa"/>
            <w:tcBorders/>
            <w:vAlign w:val="center"/>
          </w:tcPr>
          <w:p>
            <w:pPr>
              <w:pStyle w:val="TableContents"/>
              <w:bidi w:val="0"/>
              <w:spacing w:before="0" w:after="283"/>
              <w:jc w:val="left"/>
              <w:rPr/>
            </w:pPr>
            <w:r>
              <w:rPr/>
              <w:t xml:space="preserve">User's role/scope assignment (Section 4); also logged as an </w:t>
            </w:r>
            <w:r>
              <w:rPr>
                <w:rStyle w:val="SourceText"/>
              </w:rPr>
              <w:t>access_denied</w:t>
            </w:r>
            <w:r>
              <w:rPr/>
              <w:t xml:space="preserve"> audit event</w:t>
            </w:r>
          </w:p>
        </w:tc>
      </w:tr>
      <w:tr>
        <w:trPr/>
        <w:tc>
          <w:tcPr>
            <w:tcW w:w="2095" w:type="dxa"/>
            <w:tcBorders/>
            <w:vAlign w:val="center"/>
          </w:tcPr>
          <w:p>
            <w:pPr>
              <w:pStyle w:val="TableContents"/>
              <w:bidi w:val="0"/>
              <w:spacing w:before="0" w:after="283"/>
              <w:jc w:val="left"/>
              <w:rPr/>
            </w:pPr>
            <w:r>
              <w:rPr/>
              <w:t>NOT_FOUND</w:t>
            </w:r>
          </w:p>
        </w:tc>
        <w:tc>
          <w:tcPr>
            <w:tcW w:w="1101" w:type="dxa"/>
            <w:tcBorders/>
            <w:vAlign w:val="center"/>
          </w:tcPr>
          <w:p>
            <w:pPr>
              <w:pStyle w:val="TableContents"/>
              <w:bidi w:val="0"/>
              <w:spacing w:before="0" w:after="283"/>
              <w:jc w:val="left"/>
              <w:rPr/>
            </w:pPr>
            <w:r>
              <w:rPr/>
              <w:t>404</w:t>
            </w:r>
          </w:p>
        </w:tc>
        <w:tc>
          <w:tcPr>
            <w:tcW w:w="8143" w:type="dxa"/>
            <w:tcBorders/>
            <w:vAlign w:val="center"/>
          </w:tcPr>
          <w:p>
            <w:pPr>
              <w:pStyle w:val="TableContents"/>
              <w:bidi w:val="0"/>
              <w:spacing w:before="0" w:after="283"/>
              <w:jc w:val="left"/>
              <w:rPr/>
            </w:pPr>
            <w:r>
              <w:rPr/>
              <w:t>Confirm the record exists and the requesting user's scope actually covers it</w:t>
            </w:r>
          </w:p>
        </w:tc>
      </w:tr>
      <w:tr>
        <w:trPr/>
        <w:tc>
          <w:tcPr>
            <w:tcW w:w="2095" w:type="dxa"/>
            <w:tcBorders/>
            <w:vAlign w:val="center"/>
          </w:tcPr>
          <w:p>
            <w:pPr>
              <w:pStyle w:val="TableContents"/>
              <w:bidi w:val="0"/>
              <w:spacing w:before="0" w:after="283"/>
              <w:jc w:val="left"/>
              <w:rPr/>
            </w:pPr>
            <w:r>
              <w:rPr/>
              <w:t>CONFLICT</w:t>
            </w:r>
          </w:p>
        </w:tc>
        <w:tc>
          <w:tcPr>
            <w:tcW w:w="1101" w:type="dxa"/>
            <w:tcBorders/>
            <w:vAlign w:val="center"/>
          </w:tcPr>
          <w:p>
            <w:pPr>
              <w:pStyle w:val="TableContents"/>
              <w:bidi w:val="0"/>
              <w:spacing w:before="0" w:after="283"/>
              <w:jc w:val="left"/>
              <w:rPr/>
            </w:pPr>
            <w:r>
              <w:rPr/>
              <w:t>409</w:t>
            </w:r>
          </w:p>
        </w:tc>
        <w:tc>
          <w:tcPr>
            <w:tcW w:w="8143" w:type="dxa"/>
            <w:tcBorders/>
            <w:vAlign w:val="center"/>
          </w:tcPr>
          <w:p>
            <w:pPr>
              <w:pStyle w:val="TableContents"/>
              <w:bidi w:val="0"/>
              <w:spacing w:before="0" w:after="283"/>
              <w:jc w:val="left"/>
              <w:rPr/>
            </w:pPr>
            <w:r>
              <w:rPr/>
              <w:t>Uniqueness constraint in that service's database (08_Database Design Document)</w:t>
            </w:r>
          </w:p>
        </w:tc>
      </w:tr>
      <w:tr>
        <w:trPr/>
        <w:tc>
          <w:tcPr>
            <w:tcW w:w="2095" w:type="dxa"/>
            <w:tcBorders/>
            <w:vAlign w:val="center"/>
          </w:tcPr>
          <w:p>
            <w:pPr>
              <w:pStyle w:val="TableContents"/>
              <w:bidi w:val="0"/>
              <w:spacing w:before="0" w:after="283"/>
              <w:jc w:val="left"/>
              <w:rPr/>
            </w:pPr>
            <w:r>
              <w:rPr/>
              <w:t>UNBALANCED_ENTRY</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Accounting Service validation logic (BR-03); should never reach the client without the UI having already warned the user</w:t>
            </w:r>
          </w:p>
        </w:tc>
      </w:tr>
      <w:tr>
        <w:trPr/>
        <w:tc>
          <w:tcPr>
            <w:tcW w:w="2095" w:type="dxa"/>
            <w:tcBorders/>
            <w:vAlign w:val="center"/>
          </w:tcPr>
          <w:p>
            <w:pPr>
              <w:pStyle w:val="TableContents"/>
              <w:bidi w:val="0"/>
              <w:spacing w:before="0" w:after="283"/>
              <w:jc w:val="left"/>
              <w:rPr/>
            </w:pPr>
            <w:r>
              <w:rPr/>
              <w:t>PERIOD_CLOSED</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Financial period status (BR-04); confirm the entry's date against the period's date range</w:t>
            </w:r>
          </w:p>
        </w:tc>
      </w:tr>
      <w:tr>
        <w:trPr/>
        <w:tc>
          <w:tcPr>
            <w:tcW w:w="2095" w:type="dxa"/>
            <w:tcBorders/>
            <w:vAlign w:val="center"/>
          </w:tcPr>
          <w:p>
            <w:pPr>
              <w:pStyle w:val="TableContents"/>
              <w:bidi w:val="0"/>
              <w:spacing w:before="0" w:after="283"/>
              <w:jc w:val="left"/>
              <w:rPr/>
            </w:pPr>
            <w:r>
              <w:rPr/>
              <w:t>RATE_LIMITED</w:t>
            </w:r>
          </w:p>
        </w:tc>
        <w:tc>
          <w:tcPr>
            <w:tcW w:w="1101" w:type="dxa"/>
            <w:tcBorders/>
            <w:vAlign w:val="center"/>
          </w:tcPr>
          <w:p>
            <w:pPr>
              <w:pStyle w:val="TableContents"/>
              <w:bidi w:val="0"/>
              <w:spacing w:before="0" w:after="283"/>
              <w:jc w:val="left"/>
              <w:rPr/>
            </w:pPr>
            <w:r>
              <w:rPr/>
              <w:t>429</w:t>
            </w:r>
          </w:p>
        </w:tc>
        <w:tc>
          <w:tcPr>
            <w:tcW w:w="8143" w:type="dxa"/>
            <w:tcBorders/>
            <w:vAlign w:val="center"/>
          </w:tcPr>
          <w:p>
            <w:pPr>
              <w:pStyle w:val="TableContents"/>
              <w:bidi w:val="0"/>
              <w:spacing w:before="0" w:after="283"/>
              <w:jc w:val="left"/>
              <w:rPr/>
            </w:pPr>
            <w:r>
              <w:rPr/>
              <w:t>API Gateway rate-limit configuration (Section 10)</w:t>
            </w:r>
          </w:p>
        </w:tc>
      </w:tr>
    </w:tbl>
    <w:p>
      <w:pPr>
        <w:pStyle w:val="Heading2"/>
        <w:bidi w:val="0"/>
        <w:jc w:val="left"/>
        <w:rPr/>
      </w:pPr>
      <w:r>
        <w:rPr/>
        <w:t>14. Approval</w:t>
      </w:r>
    </w:p>
    <w:p>
      <w:pPr>
        <w:pStyle w:val="BodyText"/>
        <w:bidi w:val="0"/>
        <w:jc w:val="left"/>
        <w:rPr/>
      </w:pPr>
      <w:r>
        <w:rPr/>
        <w:t>Submitted for use by the IT Administrator and the engaged development team/technology partner as the Phase 1 operations reference, to be kept current as later phases add services and infrastructure.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07_System Design Document (v2.0); 08_Database Design Document; 09_API Specification; 10_Test Plan; 11_Deployment Plan; 13_Alpha Test Plan (operational drills, now standing runbooks); 14_User Manual (business-administration tasks, not duplicated here); 03_Feasibility Study (Section 7, data protection). </w:t>
      </w:r>
    </w:p>
    <w:p>
      <w:pPr>
        <w:pStyle w:val="Heading1"/>
      </w:pPr>
      <w:r>
        <w:t>15. Implementation Status Update (18 August 2026)</w:t>
      </w:r>
    </w:p>
    <w:p>
      <w:r>
        <w:t>Section 2's system overview does not describe the running system accurately at this stage: there are not eight independently deployable microservices behind an API Gateway, communicating via Kafka. There is one NestJS application (two modules: Identity, Organization) against one PostgreSQL database, run directly on a developer machine.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4 (user/access administration) is usable today via the Users &amp; Roles screen and the underlying API. Sections 5 (monitoring), 6 (backup/restore beyond Docker volumes), 7 (incident runbooks), 8 (release administration), 9 (data administration beyond the seed script), and 10 (security administration beyond basic rate limiting and bcrypt hashing) all assume production infrastructure that does not exist yet and are not yet applicable.</w:t>
      </w:r>
    </w:p>
    <w:p>
      <w:r>
        <w:t>Code lives in mbms/, alongside this documentation set (docx/) and the Administrator/Customer mockups (screenshots/). See mbms/README.md for exact run instructions and seeded demo credentials.</w:t>
      </w:r>
    </w:p>
    <w:p>
      <w:pPr>
        <w:pStyle w:val="Heading1"/>
      </w:pPr>
      <w:r>
        <w:t>16. Implementation Status Update 2 (18 August 2026)</w:t>
      </w:r>
    </w:p>
    <w:p>
      <w:r>
        <w:t>Section 2's inaccuracy (this is one application, not eight services behind a Gateway) now extends to Employees and Accounting too — both were added as more modules of the same NestJS application, not new services. 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Section 9's cross-service data correction guidance is now concretely relevant: employees.company_id and accounts.company_id are logical references to the Organization module with no database-level foreign key, exactly as Section 9 warns — a deleted (deactivated, in this system) company would silently orphan employee and accounting records with no database error, matching this document's own description of the risk.</w:t>
      </w:r>
    </w:p>
    <w:p>
      <w:r>
        <w:t>See mbms/README.md for exact run instructions and seeded demo credentials.</w:t>
      </w:r>
    </w:p>
    <w:p>
      <w:pPr>
        <w:pStyle w:val="Heading1"/>
      </w:pPr>
      <w:r>
        <w:t>17. Implementation Status Update 3 (18 August 2026)</w:t>
      </w:r>
    </w:p>
    <w:p>
      <w:r>
        <w:t>Customers and Suppliers were added as two more modules of the same application, not new services — Section 2's inaccuracy and Section 9's cross-service data correction guidance (no database-level FK from customers.company_id or suppliers.company_id back to Organization) both extend to these two services the same way they already applied to Employees.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4 (18 August 2026)</w:t>
      </w:r>
    </w:p>
    <w:p>
      <w:r>
        <w:t>Products was added as one more module of the same application, extending Section 2's inaccuracy and Section 9's cross-service data correction guidance (no database-level FK from products.company_id back to Organization) the same way as every prior addition.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5 (18 August 2026) — Every Section 3 Service Has Code</w:t>
      </w:r>
    </w:p>
    <w:p>
      <w:r>
        <w:t>The Audit &amp; Reporting Service's read-only endpoint now has working code, completing Section 3's list. Section 13's technical error code reference now has a live example for FORBIDDEN worth noting: every 403 this system returns is now also recorded as an access_denied audit_logs row automatically, which Section 7.4 (suspected unauthorized access runbook) can rely on directly — 'search the Audit Trail for the account and time window in question, including any access_denied entries' is executable exactly as written for the first time.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20. Implementation Status Update 6 (18 August 2026) — Identity Corrections</w:t>
      </w:r>
    </w:p>
    <w:p>
      <w:r>
        <w:t>Section 3's Identity Service description is unchanged at the service-boundary level; two field/endpoint-level gaps under it are now closed (department scope, direct permission grant) — see mbms/README.md for the full detail. Section 7's runbooks are unaffected. One addition worth making to this manual's own content the next time it is revised: a short procedure for granting a single permission directly to a user via the new Direct Permissions panel, for the case an administrator needs to give someone one capability (e.g. audit.view) without assigning them a whole role that carries more than intended.</w:t>
      </w:r>
    </w:p>
    <w:p>
      <w:r>
        <w:t>See mbms/README.md, "Sprint 1 verification pass", for the full detail and verification method.</w:t>
      </w:r>
    </w:p>
    <w:p>
      <w:pPr>
        <w:pStyle w:val="Heading1"/>
      </w:pPr>
      <w:r>
        <w:t>21. Implementation Status Update 7 (18 August 2026) — Organization Corrections</w:t>
      </w:r>
    </w:p>
    <w:p>
      <w:r>
        <w:t>Section 3's Organization Service description is unchanged at the service-boundary level; the field/endpoint-level gaps under it are now closed (relationship type, ownership percentage, logo URL) — see mbms/README.md for full detail. One addition worth making to this manual the next time it is revised: which roles can currently create or edit a company (Super Administrator, IT Administrator) — this was not previously documented anywhere an administrator would think to look, which is part of why the demo-reachability gap this update fixed went unnoticed for six prior status updates.</w:t>
      </w:r>
    </w:p>
    <w:p>
      <w:r>
        <w:t>See mbms/README.md, "Sprint 2 verification pass", for the full detail and verification method.</w:t>
      </w:r>
    </w:p>
    <w:p>
      <w:pPr>
        <w:pStyle w:val="Heading1"/>
      </w:pPr>
      <w:r>
        <w:t>22. Implementation Status Update 8 (18 August 2026) — Employee Service Corrections</w:t>
      </w:r>
    </w:p>
    <w:p>
      <w:r>
        <w:t>Section 3's Employee Service description is unchanged at the service-boundary level; the field/UI-level gaps under it are now closed (job description, qualifications, and the full create-form field set) — see mbms/README.md for full detail.</w:t>
      </w:r>
    </w:p>
    <w:p>
      <w:r>
        <w:t>See mbms/README.md, "Sprint 3 verification pass", for the full detail and verification method.</w:t>
      </w:r>
    </w:p>
    <w:p>
      <w:pPr>
        <w:pStyle w:val="Heading1"/>
      </w:pPr>
      <w:r>
        <w:t>23. Implementation Status Update 9 (18 August 2026) — Customer/Supplier Corrections</w:t>
      </w:r>
    </w:p>
    <w:p>
      <w:r>
        <w:t>Section 3's Customer and Supplier Service descriptions are unchanged at the service-boundary level; the field/UI-level gaps under them are now closed (contract reference/expiry, and the full create-form field sets for both) — see mbms/README.md for full detail.</w:t>
      </w:r>
    </w:p>
    <w:p>
      <w:r>
        <w:t>See mbms/README.md, "Sprint 4 verification pass", for the full detail and verification method.</w:t>
      </w:r>
    </w:p>
    <w:p>
      <w:pPr>
        <w:pStyle w:val="Heading1"/>
      </w:pPr>
      <w:r>
        <w:t>24. Implementation Status Update 10 (18 August 2026) — Product Service Corrections</w:t>
      </w:r>
    </w:p>
    <w:p>
      <w:r>
        <w:t>Section 3's Product Service description is unchanged at the service-boundary level; the field/audit/UI-level gaps under it are now closed (product type, update/category audit coverage, barcode/description on the create form) — see mbms/README.md for full detail.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pPr>
        <w:pStyle w:val="Heading1"/>
      </w:pPr>
      <w:r>
        <w:t>25. Implementation Status Update 11 (18 August 2026) — Accounting/Dashboard Corrections</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Section 3's Accounting and Dashboard descriptions are unchanged at the service-boundary level; the report/field-level gaps under them are now closed (general ledger report, finance-user-reachable accounting summary) — see mbms/README.md for full detail.</w:t>
      </w:r>
    </w:p>
    <w:p>
      <w:r>
        <w:t>See mbms/README.md, "Sprint 6 verification pass", for the full detail and verification method.</w:t>
      </w:r>
    </w:p>
    <w:p>
      <w:pPr>
        <w:pStyle w:val="Heading1"/>
      </w:pPr>
      <w:r>
        <w:t>26. Implementation Status Update 12 (18 August 2026) — Security Posture Confirmed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7's runbooks (including the suspected-unauthorized-access one that already references the Audit Trail) are unaffected by this update. Worth adding to this manual when next revised: the confirmed rate-limiting behavior (10 requests/minute/IP on authentication endpoints) as a fact an administrator explaining a locked-out user's experience might need.</w:t>
      </w:r>
    </w:p>
    <w:p>
      <w:r>
        <w:t>See mbms/README.md, "Sprint 7: security testing pass", for the full detail and verification method.</w:t>
      </w:r>
    </w:p>
    <w:p>
      <w:pPr>
        <w:pStyle w:val="Heading1"/>
      </w:pPr>
      <w:r>
        <w:t>27. Implementation Status Update 13 (18 August 2026) — Security Fix Applied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Worth adding to this manual's incident-response guidance when next revised: this class of bug (a caller-supplied filter overriding rather than intersecting with server-side scope) is worth specifically checking for in any future list endpoint this system adds.</w:t>
      </w:r>
    </w:p>
    <w:p>
      <w:r>
        <w:t>See mbms/README.md, "Sprint 8: performance, Alpha and UAT pass", for the full detail and verification method.</w:t>
      </w:r>
    </w:p>
    <w:p>
      <w:pPr>
        <w:pStyle w:val="Heading1"/>
      </w:pPr>
      <w:r>
        <w:t>28. Implementation Status Update 14 (18 August 2026) — New Expense Permissions</w:t>
      </w:r>
    </w:p>
    <w:p>
      <w:r>
        <w:t>Scope note: same as this document's pattern since Sprint 6 — this sprint's request needed no redirect, since it named genuinely new Phase 2 work.</w:t>
      </w:r>
    </w:p>
    <w:p>
      <w:r>
        <w:t>Four new permissions join this manual's permission catalogue: expense.create (submit a claim for yourself — granted to every seeded role except Auditor), expense.viewAll (see every company's claims, not just your own or ones awaiting your approval — granted to Super Administrator, Managing Director, Group CEO and Auditor), expense.approve.manager (approve/reject at the manager step — granted to Branch Manager, Human Resources Manager, Sales Manager, Procurement Manager) and expense.approve.finance (approve/reject at the finance step, and pay/post an approved claim — granted to Finance Manager). Auditor holds expense.viewAll only, no create/approve/pay permission, preserving the read-only guarantee this manual documents for that role elsewhere.</w:t>
      </w:r>
    </w:p>
    <w:p>
      <w:r>
        <w:t>One known limitation, not fixed this sprint: nothing stops a user who holds both expense.create and expense.approve.manager (e.g. Branch Manager) from approving their own submitted claim — there is no submitter-!=-approver check. Worth a Board decision on whether that separation-of-duties control is required before Expenses reaches production use.</w:t>
      </w:r>
    </w:p>
    <w:p>
      <w:r>
        <w:t>See mbms/README.md, “Sprint 9”, for the full detail and verification method.</w:t>
      </w:r>
    </w:p>
    <w:p>
      <w:pPr>
        <w:pStyle w:val="Heading1"/>
      </w:pPr>
      <w:r>
        <w:t>29. Implementation Status Update 15 (18 August 2026) — No New Permissions</w:t>
      </w:r>
    </w:p>
    <w:p>
      <w:r>
        <w:t>Scope note: unlike Sprint 9 (a new module needing four new permissions), Sprint 10 deepens the existing Accounting module — no new permission was needed.</w:t>
      </w:r>
    </w:p>
    <w:p>
      <w:r>
        <w:t>Recurring entry creation/generation and the new report endpoints all reuse the existing accounting.manage (create/generate) and accounting.viewAll/scope (view) permissions already documented for Accounts, Financial Periods and Journal Entries. Whoever could already manage a company's chart of accounts can now also create and generate recurring entry templates for it; whoever could already view a company's trial balance can now also view its Income Statement, Balance Sheet, and (for Group-level viewAll holders) the consolidated versions of both.</w:t>
      </w:r>
    </w:p>
    <w:p>
      <w:r>
        <w:t>See mbms/README.md, “Sprint 10”, for the full detail and verification method.</w:t>
      </w:r>
    </w:p>
    <w:p>
      <w:pPr>
        <w:pStyle w:val="Heading1"/>
      </w:pPr>
      <w:r>
        <w:t>30. Implementation Status Update 16 (18 August 2026) — New Asset Permissions</w:t>
      </w:r>
    </w:p>
    <w:p>
      <w:r>
        <w:t>Scope note: Sprint 11 adds three new permissions, the same class of addition Sprint 9 made for Expenses.</w:t>
      </w:r>
    </w:p>
    <w:p>
      <w:r>
        <w:t>New permissions: asset.manage (Super Administrator, Finance Manager, Procurement Manager), asset.viewAll (Super Administrator, Managing Director, Group CEO, Auditor — read-only for Auditor), and asset.approve.disposal (Super Administrator, Finance Manager, Managing Director — 05_Business Process Document's disposal workflow names its second step “Management Approval” directly).</w:t>
      </w:r>
    </w:p>
    <w:p>
      <w:r>
        <w:t>See mbms/README.md, “Sprint 11”, for the full detail and verification method.</w:t>
      </w:r>
    </w:p>
    <w:p>
      <w:pPr>
        <w:pStyle w:val="Heading1"/>
      </w:pPr>
      <w:r>
        <w:t>31. Implementation Status Update 17 (18 August 2026) — New Project Permissions</w:t>
      </w:r>
    </w:p>
    <w:p>
      <w:r>
        <w:t>Scope note: Sprint 12 adds two new permissions, the same class of addition Sprints 9 and 11 made.</w:t>
      </w:r>
    </w:p>
    <w:p>
      <w:r>
        <w:t>New permissions: project.manage (Super Administrator, Managing Director, Finance Manager — profitability review is financial/executive oversight) and project.viewAll (adds Group CEO and Auditor, read-only for Auditor). No new “Project Manager” demo persona was seeded — see mbms/README.md, “Judgment calls,” item 14.</w:t>
      </w:r>
    </w:p>
    <w:p>
      <w:r>
        <w:t>See mbms/README.md, “Sprint 12”, for the full detail and verification method.</w:t>
      </w:r>
    </w:p>
    <w:p>
      <w:pPr>
        <w:pStyle w:val="Heading1"/>
      </w:pPr>
      <w:r>
        <w:t>32. Implementation Status Update 18 (18 August 2026) — No New Permissions</w:t>
      </w:r>
    </w:p>
    <w:p>
      <w:r>
        <w:t>Scope note: unlike every module sprint since Sprint 9, Sprint 13 introduced zero new permissions — a deliberate choice, not an oversight.</w:t>
      </w:r>
    </w:p>
    <w:p>
      <w:r>
        <w:t>Each report endpoint reuses exactly the permission its underlying data already requires: organization.company.viewAll (companies), employee.manage/employee.viewAll (employees), audit.view (audit trail), and scope-only, no special permission (customers, suppliers, accounting) — matching each source screen's real access rule precisely, so this manual's existing permission table needs no update.</w:t>
      </w:r>
    </w:p>
    <w:p>
      <w:r>
        <w:t>See mbms/README.md, “Sprint 13”, for the full detail and verification method.</w:t>
      </w:r>
    </w:p>
    <w:p>
      <w:pPr>
        <w:pStyle w:val="Heading1"/>
      </w:pPr>
      <w:r>
        <w:t>33. Implementation Status Update 19 (18 August 2026) — No New Permissions</w:t>
      </w:r>
    </w:p>
    <w:p>
      <w:r>
        <w:t>Scope note: like Sprint 13, Sprint 14 introduced zero new permissions.</w:t>
      </w:r>
    </w:p>
    <w:p>
      <w:r>
        <w:t>Every notification endpoint is scoped implicitly to the caller's own userId server-side — there is nothing to permission-gate beyond being logged in, since a notification is inherently personal. Dashboard's new fields reuse each module's own existing permission exactly as FR-DASH-02 already established the pattern for accounting.</w:t>
      </w:r>
    </w:p>
    <w:p>
      <w:r>
        <w:t>See mbms/README.md, “Sprint 14”, for the full detail and verification method.</w:t>
      </w:r>
    </w:p>
    <w:p>
      <w:pPr>
        <w:pStyle w:val="Heading1"/>
      </w:pPr>
      <w:r>
        <w:t>34. Implementation Status Update 20 (19 August 2026) — Two New Group-Wide-Only Permissions</w:t>
      </w:r>
    </w:p>
    <w:p>
      <w:r>
        <w:t>Scope note: requested directly against morise.docx, Section 2.</w:t>
      </w:r>
    </w:p>
    <w:p>
      <w:r>
        <w:t>Two new permissions: organization.intercompany.manage and organization.intercompany.viewAll, both deliberately group-wide only — unlike every earlier “manage”/“viewAll” pair in this system, neither has a scoped, single-company variant, since an inter-company transaction inherently spans two companies and no single company's scope could correctly gate it. Seeded to Super Administrator, Managing Director and Finance Manager (both permissions), Group CEO and Auditor (viewAll only). Company policy writes reuse the existing organization.company.manage permission — no new permission needed there.</w:t>
      </w:r>
    </w:p>
    <w:p>
      <w:r>
        <w:t>See mbms/README.md, “Company and Holdings Management,” for the full detail and verification method.</w:t>
      </w:r>
    </w:p>
    <w:p>
      <w:pPr>
        <w:pStyle w:val="Heading1"/>
      </w:pPr>
      <w:r>
        <w:t>35.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36. Implementation Status Update 22 (19 August 2026) — All 23 Roles Now Functional</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An administrator assigning any of the 14 previously-empty roles (Chief Financial Officer, Accountant, Operations Manager, Project Manager, Inventory Manager, Warehouse Manager, Legal Officer, Customer Service Officer, Employee, External Auditor, Board Member, Investor, Read-only User) to a user will now see that grant actually take effect — previously the role assignment succeeded but conferred no access at all, a silent gap this manual had no way of flagging since the assignment API call itself always returned success.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37.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38. Implementation Status Update 24 (19 August 2026) — Orders and Support Tickets Screens Added</w:t>
      </w:r>
    </w:p>
    <w:p>
      <w:r>
        <w:t>Scope note: requested directly against three related asks handled in one session — build the customer storefront, make it responsive, and add a public landing page with a disclaimer — not a numbered sprint.</w:t>
      </w:r>
    </w:p>
    <w:p>
      <w:r>
        <w:t>Built: an Orders screen (sidebar, between Products and Accounting) lists every order in your scope with a status badge; holders of sales.order.manage (Super Administrator, Sales Manager, Branch Manager) see per-row action buttons that advance an order one fulfillment step at a time (Confirm, Mark Packed, Dispatch, Mark Delivered) or cancel it while still placed/confirmed — holders of only sales.order.viewAll (Managing Director, Group CEO, Auditor) see the same list read-only. A Support Tickets screen lists every ticket in your scope with priority/status badges; holders of support.ticket.manage (Super Administrator, Customer Service Officer, and IT Administrator standing in for the unseeded Customer Service Officer demo persona) can open a ticket, read its full customer/staff thread, reply, and mark it resolved. Neither screen exists for a customer to see directly — a customer's own equivalent is their separate storefront app's My Orders and Support screens, backed by the same data.</w:t>
      </w:r>
    </w:p>
    <w:p>
      <w:r>
        <w:t>See mbms/README.md, "Sprint 16: Customer Storefront", for the full detail and verification method.</w:t>
      </w:r>
    </w:p>
    <w:p>
      <w:pPr>
        <w:pStyle w:val="Heading1"/>
      </w:pPr>
      <w:r>
        <w:t>39.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Administrator menu map: Admin / Backend holds Dashboard, Companies &amp; Holdings, Product Manager, Order Management, Customers (CRM), Support Tickets, Users &amp; Settings and Activity Log (plus planned Inventory, Marketing &amp; Promos, CMS / Site Builder). Human Resources holds Employees, Attendance, Leave Requests and Recruitment (plus planned HR Dashboard, Departments, Shift Scheduling, Payroll). My HR is employee self-service. Financial &amp; Accounting holds General Ledger &amp; Journals, Accounts Payable, Expenses, Assets, Projects, Reports, Suppliers and Inter-Company (plus a planned overview). Access to each screen is still governed by the user's roles and scope, unchanged by this reorganisation.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Administrator Manual: access administration is delegated. The Managing Director may grant any role/permission group-wide; a Branch Manager may grant operational permissions to users in their branch; an HR Manager may grant HR permissions to users in their scope. Super Administrator / IT Administrator keep full authority for bootstrap and recovery. The Users &amp; Settings screen shows each administrator only the grants they may make. Every grant and revoke is in the audit trail; refused attempts appear as access_denied. Keep each new permission's domain accurate — it is what the delegation rules act on.</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Administrator Manual: the sidebar is now assembled per user from ROUTE_CAPABILITIES (route → required permission codes). When a new screen is added, add its entry to that map; when a user reports a “missing” menu item, check the permissions they hold against that entry rather than assuming a fault. The Dashboard and My HR are always visible; identity.user.manage holders see everything.</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Administrator Manual: storefront translations live in mbms/storefront/src/locales/index.js (one table per language; English is the fallback). To add or correct a translation, edit that language's table — no build-tooling or back-end work is needed beyond redeploying the storefront bundle. New UI strings must be added to the English table with a key.</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Administrator Manual: the language list and the translation tables both live in mbms/storefront/src/locales/index.js. To add a language, add an entry to LANGUAGE_LIST (with dir: 'rtl' if it is a right-to-left script) and a table to LOCALES (or leave it empty to fall back to English). No back-end or tooling work beyond redeploying the storefront bundle.</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Administrator Manual: storefront text now lives across locales/en.js (the master key list) and locales/eu.js / locales/regional.js (translations). A new UI string must be added to en.js with a key and referenced via t(); status / priority labels use status.* / priority.* keys through tStatus() / tPriority(). To complete or correct a language, edit its table and redeploy the storefront bundle — no other work.</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Administrator Manual: customer-authored text (support tickets, replies, delivery addresses) is stored in English; the source_language and *_original columns hold the customer's wording, surfaced by the Support Tickets “show original” toggle. The translation glossary lives in src/common/translation/content-glossary.ts — add a term (with its translations) to extend coverage. Arbitrary prose is handled by the TranslationProvider seam; the bundled provider is a no-op, a real one is selected with CONTENT_TRANSLATION_PROVIDER.</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Administrator Manual: the storefront converts UGX amounts for display using fixed rates in mbms/storefront/src/lib/format.js (UGX_PER_UNIT) and a CURRENCY_BY_LANG map; nothing stored changes. To add or adjust a currency, edit those maps and redeploy the storefront. Customer numerals typed in another script are stored as 0-9 (originals kept in *_original). Replace the fixed rates with a feed for production.</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Administrator Manual: the Managing Director now has organization.company.manage and identity.user.manage. Subsidiary deletion is guarded — a company with any branch, department, employee, customer, supplier, product, ledger account or inter-company transaction returns 409 and must be deactivated instead; the root holding company is protected outright. The new Clearing &amp; Forwarding subsidiary's branches, departments and policies are listed; its system specification is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Administrator Manual: Morise Warehouse Management Ltd is added to the group structure — five warehouse branches (Kampala, Jinja, Mbarara, Gulu, Mbale), nine departments and five operating policies. Its system specification is doc 20; it reuses the platform's localisation, identity, finance and audit capabilities.</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Administrator manual: the Inventory screen is now active under Admin / Backend. It is visible to holders of product.viewAll or product.manage; adjustments and re-order-point changes require product.manage and are audited (inventory.stock.adjusted, inventory.reorder_point.updated). Company-level only; per-branch stock is WMS scope (doc 20).</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Administrator manual: the two screens are now active under Admin / Backend. Marketing &amp; Promos is visible to marketing.viewAll or marketing.manage and per-company scoped; CMS / Site Builder is visible to cms.viewAll or cms.manage and is site-wide. Writes need the corresponding manage code. Seeded holders: Super Administrator and IT Administrator (all four), Managing Director (viewAll), Sales Manager (marketing).</w:t>
      </w:r>
    </w:p>
    <w:p>
      <w:pPr>
        <w:pStyle w:val="Heading1"/>
      </w:pPr>
      <w:r>
        <w:t>Operational Note (28 August 2026) — Diagnosing “Request failed (500)”</w:t>
      </w:r>
    </w:p>
    <w:p>
      <w:pPr>
        <w:pStyle w:val="BodyText"/>
      </w:pPr>
      <w:r>
        <w:t>This note is operational guidance for administrators, not an implementation change; it records a support question raised after the Marketing &amp; Promos and CMS / Site Builder sections were activated (see Implementation Status Update 37).</w:t>
      </w:r>
    </w:p>
    <w:p>
      <w:pPr>
        <w:pStyle w:val="BodyText"/>
      </w:pPr>
      <w:r>
        <w:t>Symptom: one or more Admin screens show the message “Request failed (500).” The Admin application shows this whenever an /api/v1 call returns HTTP 500 with no structured error body. In this system that almost always means the backend is stale or not running, not a fault in the screen itself.</w:t>
      </w:r>
    </w:p>
    <w:p>
      <w:pPr>
        <w:pStyle w:val="BodyText"/>
      </w:pPr>
      <w:r>
        <w:t>•  Every screen fails: the backend process is not running. The Admin application's development server proxies /api to http://localhost:3001 and returns 500 when that connection is refused. Start the backend (node dist/main.js in mbms/backend).</w:t>
      </w:r>
    </w:p>
    <w:p>
      <w:pPr>
        <w:pStyle w:val="BodyText"/>
      </w:pPr>
      <w:r>
        <w:t>•  Only the newly-activated screens fail (Marketing &amp; Promos, CMS / Site Builder, Inventory) while older screens work: the backend is running an older build, or the database has not had the latest migration applied, so the discount_codes, promo_banners and content_blocks tables (or the stock_movements table) do not yet exist. Apply the migration, regenerate the Prisma client, rebuild and restart: npx prisma migrate deploy &amp;&amp; npx prisma generate &amp;&amp; rm -rf dist &amp;&amp; npx nest build &amp;&amp; node dist/main.js.</w:t>
      </w:r>
    </w:p>
    <w:p>
      <w:pPr>
        <w:pStyle w:val="BodyText"/>
      </w:pPr>
      <w:r>
        <w:t>•  A screen fails immediately after the database was reset: the browser still holds a sign-in token issued before the reset. Sign out and sign in again.</w:t>
      </w:r>
    </w:p>
    <w:p>
      <w:pPr>
        <w:pStyle w:val="BodyText"/>
      </w:pPr>
      <w:r>
        <w:t>Rule of thumb: after any change to backend source or to schema.prisma, re-run the migration, regenerate the client, rebuild, and restart — in that order. Once migration 20260828160000_marketing_promos_cms (and 20260828120000_inventory_stock_movements) is applied, the Marketing, CMS and Inventory endpoints were verified returning HTTP 200 end-to-end.</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Administrator Manual: the seeded holders of the Marketing and CMS permissions are updated — Super Administrator, IT Administrator and Managing Director hold all four (marketing.manage / viewAll, cms.manage / viewAll); Sales Manager holds marketing.*. A discount code can now be deleted (DELETE /marketing/discount-codes/{id}) as well as deactivated.</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Administrator Manual: promo banners and CMS content pages are authored in English and localised to the customer on read via the glossary + provider seam, exactly like catalogue text; long body prose needs a configured machine-translation provider (CONTENT_TRANSLATION_PROVIDER) to go beyond the curated glossary.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Administrator Manual: the HR Dashboard is read-only and visible to holders of employee / recruitment / attendance / leave / performance viewAll; Departments management requires organization.company.manage (Managing Director, Super Administrator, IT Administrator) with a read-only view for the HR / org viewAll roles. Deleting a department requires it to have no employees.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Administrator Manual: Shift Scheduling is visible to holders of attendance.viewAll and edited with attendance.manage. Payroll is visible to payroll.viewAll / manage / approve; creating a run and requesting an advance need payroll.manage, approving / paying / approving an advance need payroll.approve. Seeded holders: Super Administrator, IT Administrator (all three); Human Resources Manager (manage + viewAll); Managing Director, Finance Manager (approve + viewAll). Paying a run requires an open financial period; the PAYE / NSSF constants are in src/payroll/uganda-statutory.util.ts.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Administrator Manual: the My HR screens require only a login linked to an employee record (Employee.userId); no permission is involved. To give a staff member self-service, link their user to their employee record. A salary advance a staff member requests here arrives in Payroll → Salary advances for an approver (payroll.approve).</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Administrator Manual: to enable My HR for a staff member, set the userId on their employee record (employee create/edit). The seed now does this for the Managing Director, IT Administrator, Auditor, Human Resources Manager, Finance Manager, Sales Manager and Procurement Manager logins.</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Administrator Manual: the Financial &amp; Accounting overview is read-only and visible to any holder of a finance-area permission; it aggregates the accounting, AP, expense, asset, project and financial-period data and links into their screens. Closing a period is still done in General Ledger &amp; Journals.</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Administrator Manual: self-registered customers appear in the CRM as category “Self-registered” with a small starter credit limit and 14-day terms for staff to review; a Google-linked account has no password. Reset links are delivered by the configured e-mail / SMS provider (a seam — the token is surfaced directly in a non-production build).</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Admin — set a product's branch and a customer's home branch in the CRM; orders and invoices raised through the storefront are attributed to the selling subsidiary and appear under that company's Sales and Accounts Receivable screens for its staff.</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Admin — Clearing &amp; Forwarding and Warehouse Management now have a storefront chart of accounts and an open period; their storefront orders and invoices appear under each company's Sales and Accounts Receivable screens for its staff.</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Admin — every customer's business name, address and phone is stored in English with 0-9 digits; where the customer typed another language the original wording and its language are on the row (customers.name_original / address_original / source_language) for reference.</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Admin — the backend now exposes /api/v1/docs (Swagger UI) and /api/v1/docs-json on the API port; record these in the endpoint inventory and decide whether to expose them beyond internal / staging environments.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Admin — note the new public endpoint GET /api/v1/customer-portal/public/overview in the endpoint inventory (no authentication; returns holding + subsidiary summary + counts) and decide whether to expose it outside internal / staging environments.</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Admin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Admin — no material impact — this update only changes which shell and CSS the public /page/:slug content pages use, so they match the rest of the corporate site. No requirement, interface, data, process or plan item changes. The CMS / Site Builder admin screen is unchanged.</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Admin — document the new “Social media channels” panel on the CMS / Site Builder screen: add a channel (platform, URL, optional label), re-order, toggle shown/hidden, remove; requires cms.manage to change, cms.viewAll to view. Add the four new endpoints to the endpoint inventory, including the public GET /customer-portal/public/social-links.</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Admin — document the two new panels on the CMS / Site Builder screen: “Landing-page FAQ” (add / edit / order / show-hide / remove Q&amp;A; cms.manage) and “Newsletter sign-ups” (view the list and counts with cms.viewAll, remove an entry with cms.manage). Add the six new endpoints to the inventory, including the public GET /customer-portal/public/faqs and rate-limited POST /customer-portal/public/newsletter.</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Admin — every order line, subsidiary name, order cancellation reason and payment reference is stored in English with 0-9 digits; where a customer cancelled in another language, orders.cancellation_reason_original holds their exact words (surface it with a “show original” toggle, as on Support tickets).</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Admin — every stored discount-code match, statement value and PDF field is English / 0-9; the customer-facing language rendering happens only on the way out. No admin screen change.</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Admin — Morise Collateral Management Ltd is a new manageable subsidiary: 6 sites / branches, 9 departments, 6 starter policies, all under the Managing Director's subsidiary-lifecycle controls. Its Multi-Site Collateral Management System (doc 21) is a future-phase backlog, not an admin screen yet.</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Admin — document the new “Site disclaimer” panel on the CMS / Site Builder screen: add / edit / re-order / show-hide / remove the statements shown on the full-page disclaimer gate (cms.manage to change, cms.viewAll to view). Add the new endpoints to the inventory, including the public GET /customer-portal/public/disclaimer.</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Admin — no admin change. Note that admin-added disclaimer statements beyond the seeded five are shown to customers untranslated until a machine-translation provider is configured (the same limit as CMS content-page prose).</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Admin — Morise Collateral Management Ltd now has a priced catalogue (ten services), its own six-account chart and an open FY2026-Q1 period; it is a selling subsidiary in the storefront in addition to being a manageable org structure.</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Admin — the Managing Director role now holds the complete permission catalogue (all 53 codes) — full manage / approve / view.sensitive across identity, organisation, HR, sales, support, expenses, assets, projects, accounting and accounts payable, plus delegation authority. Update the role–permission matrix accordingly; MY HR is user-scoped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Admin — note the shared Logo component and the brand/ asset folder; when adding a screen that needs the mark, use &lt;Logo/&gt; (it inherits the surrounding text colour) rather than a new image.</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Admin — the banner assets are in brand/banners/ and, for the apps, mirrored under each app’s public/brand/banners/. Storefront promotional banners remain managed in Admin » Marketing &amp; Promos (text-only: heading, body, link).</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Admin — no admin change. The displayed banners are brand assets (brand/banners/, mirrored to the storefront's public/brand/banners/); the admin-managed promotional banners (Marketing &amp; Promos) are a separate, text-only rail on the signed-in home.</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Admin — a “Delivery” admin section is planned as the dispatch surface for Morise Logistics Ltd (queue, drivers, assignment, proof, metrics); it is not present in the Admin app yet. When added it will gate on delivery.manage / delivery.viewAll. Morise Logistics Ltd's organisation is managed as any subsidiary under the subsidiary-lifecycle capability; the doc 22 Section 8 hubs, departments and policies are proposals.</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Admin — dispatch will see the acknowledgement status on each delivery and be able to record a verbal acknowledgement on the customer's behalf; support picks up the exceptions raised by a non-good acknowledgement. Not built.</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Admin — the planned “Delivery” section is where a dispatcher does this: an eligible-orders queue, a persona board with open-delivery counts, and assign / reassign actions, gated on delivery.manage. Delivery-persona records (delivery_drivers, scoped to Morise Logistics Ltd) are managed there too. Not present in the Admin app yet.</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Admin — an admin holding delivery.manage (Managing Director, IT Administrator, Operations Manager, and a Branch Manager within their scope) can now create deliveries and assign Morise Logistics Ltd delivery personas through /api/v1/delivery; the “Delivery” Admin screen to do this from the UI is still to be built. delivery.viewAll gives Group CEO, the Auditors, Board Member and Read-only User read-only oversight.</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Admin — no admin-app change; this is a customer-storefront wording change requested by an administrator. The admin app's own labels are unchanged.</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Admin — payroll is in the HUMAN RESOURCES category (Payroll screen, payroll.manage / payroll.approve / payroll.viewAll). The spec's additions (salary structures, loans, bank schedules, the report views) would extend that screen; no admin change ships with this update.</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Admin — the Payroll screen gains a Salary structures tab (company → employee → components, add / deactivate / delete, gross + statutory preview), gated on payroll.manage / payroll.viewAll like the rest of the screen. A run's Payslips modal expands each row to its component lines.</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Admin — this is the FINANCIAL &amp; ACCOUNTING admin category, gated by accounting.manage / accounting.viewAll and ap.manage / ap.approve / ap.viewAll. No admin change.</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Admin — bank / cash accounts are managed on the General Ledger &amp; Journals screen (as GL accounts); reconciliation is on the reconciliation area; the group cash position is on the Financial &amp; Accounting overview and the dashboard. A dedicated Cash &amp; Bank screen would join the FINANCIAL &amp; ACCOUNTING category.</w:t>
      </w:r>
    </w:p>
    <w:p>
      <w:pPr>
        <w:pStyle w:val="Heading1"/>
      </w:pPr>
      <w:r>
        <w:t>88.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Admin — budgets are set on the Accounting / Reports area (per account per period) and on the Projects screen (per project); budget-vs-actual is a report. A dedicated Budgets screen with the approval workflow, revisions and alerts would join the FINANCIAL &amp; ACCOUNTING category.</w:t>
      </w:r>
    </w:p>
    <w:p>
      <w:pPr>
        <w:pStyle w:val="Heading1"/>
      </w:pPr>
      <w:r>
        <w:t>89.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Admin — this spans the ADMIN / BACKEND category: Customers (CRM), Order Management, Marketing &amp; Promos, Support Tickets — all live. A CRM screen (leads / opportunities / pipeline / activities), a Quotations screen and Sales commissions / targets would extend it.</w:t>
      </w:r>
    </w:p>
    <w:p>
      <w:pPr>
        <w:pStyle w:val="Heading1"/>
      </w:pPr>
      <w:r>
        <w:t>90.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Admin — this is the FINANCIAL &amp; ACCOUNTING category's Suppliers and Accounts Payable screens (supplier.manage, ap.manage / ap.approve). A Procurement area (requisitions, RFQs, POs, GRNs) with the department- and management-approval chain would be a new set of screens.</w:t>
      </w:r>
    </w:p>
    <w:p>
      <w:pPr>
        <w:pStyle w:val="Heading1"/>
      </w:pPr>
      <w:r>
        <w:t>91.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Admin — this is the FINANCIAL &amp; ACCOUNTING category's Suppliers screen (supplier.manage / supplier.viewAll, supplier.view.sensitive for unmasked bank / tax). Contact, document, contract, suspension and evaluation panels would extend it.</w:t>
      </w:r>
    </w:p>
    <w:p>
      <w:pPr>
        <w:pStyle w:val="Heading1"/>
      </w:pPr>
      <w:r>
        <w:t>92.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Admin — the FINANCIAL &amp; ACCOUNTING category's Suppliers screen now has a detail dialog (Contacts / Evaluations / Performance tabs, Suspend control). Permissions are unchanged: supplier.manage to edit, supplier.viewAll for group-wide visibility, supplier.view.sensitive for unmasked bank / tax. Suspend is blocked on a blacklisted supplier.</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Administrator Manual</dc:title>
</cp:coreProperties>
</file>

<file path=docProps/custom.xml><?xml version="1.0" encoding="utf-8"?>
<Properties xmlns="http://schemas.openxmlformats.org/officeDocument/2006/custom-properties" xmlns:vt="http://schemas.openxmlformats.org/officeDocument/2006/docPropsVTypes"/>
</file>