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Morise Holdings Limited</w:t>
      </w:r>
    </w:p>
    <w:p>
      <w:pPr>
        <w:pStyle w:val="Heading1"/>
      </w:pPr>
      <w:r>
        <w:t>Multi-Site Collateral Management System — Feature Specification</w:t>
      </w:r>
    </w:p>
    <w:p>
      <w:pPr>
        <w:pStyle w:val="BodyText"/>
      </w:pPr>
      <w:r>
        <w:t>Prepared 30 August 2026 · Owning entity: Morise Collateral Management Ltd (wholly-owned subsidiary) · Status: specification / backlog — not yet built</w:t>
      </w:r>
    </w:p>
    <w:p>
      <w:pPr>
        <w:pStyle w:val="BodyText"/>
      </w:pPr>
      <w:r>
        <w:t>Companion document to the numbered MBMS set. Source material: the Multi-Site Collateral Management System — Feature Specification supplied by the client (retained in docx/ as Multi-Site-Collateral-Management-System-Feature-Specification.docx); this document restates it in the house format used by 19_Clearing, Forwarding and Logistics System and 20_Warehouse Management System, and adds the “Organisation as Built”, “Relationship to the Existing MBMS Platform” and “Approval” sections those documents carry.</w:t>
      </w:r>
    </w:p>
    <w:p>
      <w:pPr>
        <w:pStyle w:val="Heading2"/>
      </w:pPr>
      <w:r>
        <w:t>1. Purpose and Context</w:t>
      </w:r>
    </w:p>
    <w:p>
      <w:pPr>
        <w:pStyle w:val="BodyText"/>
      </w:pPr>
      <w:r>
        <w:t>The Managing Director has established Morise Collateral Management Ltd as a wholly-owned subsidiary of Morise Holdings Limited to operate as a collateral management agent (CMA): it monitors physical goods — commodities, inventory and stored assets — pledged as collateral by borrowers to banks and financiers, across many client sites (warehouses, silos, tank farms, yards and cold stores). This document specifies the Multi-Site Collateral Management System (CMS) that subsidiary will operate.</w:t>
      </w:r>
    </w:p>
    <w:p>
      <w:pPr>
        <w:pStyle w:val="BodyText"/>
      </w:pPr>
      <w:r>
        <w:t>Unlike a purely financial collateral system, the platform centres on physical verification: field inspectors visiting or stationed at sites, staff rosters across many locations, and a chain of custody from intake to release. It covers three connected surfaces — a head-office console for collateral managers, risk and compliance; an offline-capable field inspector mobile app for stock counts, checklists, photo/video evidence and GPS-verified check-in; and a client / lender portal for banks and financiers to monitor real-time collateral coverage and request releases.</w:t>
      </w:r>
    </w:p>
    <w:p>
      <w:pPr>
        <w:pStyle w:val="BodyText"/>
      </w:pPr>
      <w:r>
        <w:t>It is a feature specification and phased backlog; none of the modules below are implemented in the current MBMS build. The subsidiary's organisation (company record, sites/branches, departments and starter policies) has been created in MBMS and is fully manageable there by the Managing Director under the subsidiary-lifecycle capability (view / create / update / delete / activate) — see Section 8 and 15_Administrator Manual.</w:t>
      </w:r>
    </w:p>
    <w:p>
      <w:pPr>
        <w:pStyle w:val="Heading2"/>
      </w:pPr>
      <w:r>
        <w:t>2. Feature Modules</w:t>
      </w:r>
    </w:p>
    <w:p>
      <w:pPr>
        <w:pStyle w:val="Heading3"/>
      </w:pPr>
      <w:r>
        <w:t>2.1 Site &amp; Warehouse Management</w:t>
      </w:r>
    </w:p>
    <w:p>
      <w:pPr>
        <w:pStyle w:val="BodyText"/>
      </w:pPr>
      <w:r>
        <w:t>•  Site registry: location, geolocation / geofence boundary, capacity, storage type (silo, tank, warehouse, open yard).</w:t>
      </w:r>
    </w:p>
    <w:p>
      <w:pPr>
        <w:pStyle w:val="BodyText"/>
      </w:pPr>
      <w:r>
        <w:t>•  Site status tracking: active, under inspection, suspended, decommissioned.</w:t>
      </w:r>
    </w:p>
    <w:p>
      <w:pPr>
        <w:pStyle w:val="BodyText"/>
      </w:pPr>
      <w:r>
        <w:t>•  Site-level risk classification and inspection-frequency rules.</w:t>
      </w:r>
    </w:p>
    <w:p>
      <w:pPr>
        <w:pStyle w:val="BodyText"/>
      </w:pPr>
      <w:r>
        <w:t>•  Assignment of responsible inspector(s) and a site supervisor per location.</w:t>
      </w:r>
    </w:p>
    <w:p>
      <w:pPr>
        <w:pStyle w:val="BodyText"/>
      </w:pPr>
      <w:r>
        <w:t>•  Site document library: lease agreements, insurance certificates, licences, floor plans.</w:t>
      </w:r>
    </w:p>
    <w:p>
      <w:pPr>
        <w:pStyle w:val="Heading3"/>
      </w:pPr>
      <w:r>
        <w:t>2.2 Field Inspector Operations (Mobile App)</w:t>
      </w:r>
    </w:p>
    <w:p>
      <w:pPr>
        <w:pStyle w:val="BodyText"/>
      </w:pPr>
      <w:r>
        <w:t>•  GPS-verified check-in / check-out at each site visit, with geofence alerts for out-of-boundary activity.</w:t>
      </w:r>
    </w:p>
    <w:p>
      <w:pPr>
        <w:pStyle w:val="BodyText"/>
      </w:pPr>
      <w:r>
        <w:t>•  Configurable inspection checklists by commodity type and site (structural, quality, quantity, safety).</w:t>
      </w:r>
    </w:p>
    <w:p>
      <w:pPr>
        <w:pStyle w:val="BodyText"/>
      </w:pPr>
      <w:r>
        <w:t>•  Photo and video capture with automatic timestamp, geotag and tamper-evident hashing.</w:t>
      </w:r>
    </w:p>
    <w:p>
      <w:pPr>
        <w:pStyle w:val="BodyText"/>
      </w:pPr>
      <w:r>
        <w:t>•  Digital stock-count entry, including manual tally and barcode / RFID scanning where available.</w:t>
      </w:r>
    </w:p>
    <w:p>
      <w:pPr>
        <w:pStyle w:val="BodyText"/>
      </w:pPr>
      <w:r>
        <w:t>•  Offline-first design: full checklist and capture functionality without connectivity, with background sync on reconnect.</w:t>
      </w:r>
    </w:p>
    <w:p>
      <w:pPr>
        <w:pStyle w:val="BodyText"/>
      </w:pPr>
      <w:r>
        <w:t>•  Electronic signature capture from site staff / client representative to confirm counts.</w:t>
      </w:r>
    </w:p>
    <w:p>
      <w:pPr>
        <w:pStyle w:val="Heading3"/>
      </w:pPr>
      <w:r>
        <w:t>2.3 Staff &amp; Workforce Management</w:t>
      </w:r>
    </w:p>
    <w:p>
      <w:pPr>
        <w:pStyle w:val="BodyText"/>
      </w:pPr>
      <w:r>
        <w:t>•  Roster and shift scheduling for inspectors and site supervisors across all managed sites.</w:t>
      </w:r>
    </w:p>
    <w:p>
      <w:pPr>
        <w:pStyle w:val="BodyText"/>
      </w:pPr>
      <w:r>
        <w:t>•  Skills, certifications and training records (e.g. commodity-specific handling, safety certifications) with expiry alerts.</w:t>
      </w:r>
    </w:p>
    <w:p>
      <w:pPr>
        <w:pStyle w:val="BodyText"/>
      </w:pPr>
      <w:r>
        <w:t>•  Route planning and multi-site visit scheduling with travel-time estimation.</w:t>
      </w:r>
    </w:p>
    <w:p>
      <w:pPr>
        <w:pStyle w:val="BodyText"/>
      </w:pPr>
      <w:r>
        <w:t>•  Timesheet capture linked to GPS check-in / out data.</w:t>
      </w:r>
    </w:p>
    <w:p>
      <w:pPr>
        <w:pStyle w:val="BodyText"/>
      </w:pPr>
      <w:r>
        <w:t>•  Escalation and cover assignment when an inspector is unavailable or a site visit is missed.</w:t>
      </w:r>
    </w:p>
    <w:p>
      <w:pPr>
        <w:pStyle w:val="Heading3"/>
      </w:pPr>
      <w:r>
        <w:t>2.4 Stock &amp; Collateral Management</w:t>
      </w:r>
    </w:p>
    <w:p>
      <w:pPr>
        <w:pStyle w:val="BodyText"/>
      </w:pPr>
      <w:r>
        <w:t>•  Real-time stock ledger per site: commodity type, quantity, unit of measure, quality grade.</w:t>
      </w:r>
    </w:p>
    <w:p>
      <w:pPr>
        <w:pStyle w:val="BodyText"/>
      </w:pPr>
      <w:r>
        <w:t>•  Intake and outtake movement workflows with weighbridge / scale integration.</w:t>
      </w:r>
    </w:p>
    <w:p>
      <w:pPr>
        <w:pStyle w:val="BodyText"/>
      </w:pPr>
      <w:r>
        <w:t>•  Valuation engine linking stock quantities to current market pricing for coverage calculation.</w:t>
      </w:r>
    </w:p>
    <w:p>
      <w:pPr>
        <w:pStyle w:val="BodyText"/>
      </w:pPr>
      <w:r>
        <w:t>•  Multi-client, multi-commodity segregation within shared or dedicated storage sites.</w:t>
      </w:r>
    </w:p>
    <w:p>
      <w:pPr>
        <w:pStyle w:val="Heading3"/>
      </w:pPr>
      <w:r>
        <w:t>2.5 Inspection &amp; Audit Workflow</w:t>
      </w:r>
    </w:p>
    <w:p>
      <w:pPr>
        <w:pStyle w:val="BodyText"/>
      </w:pPr>
      <w:r>
        <w:t>•  Scheduled, random and trigger-based inspection assignment (e.g. after large movements or alerts).</w:t>
      </w:r>
    </w:p>
    <w:p>
      <w:pPr>
        <w:pStyle w:val="BodyText"/>
      </w:pPr>
      <w:r>
        <w:t>•  Variance detection: physical count vs. system-recorded stock, with tolerance thresholds.</w:t>
      </w:r>
    </w:p>
    <w:p>
      <w:pPr>
        <w:pStyle w:val="BodyText"/>
      </w:pPr>
      <w:r>
        <w:t>•  Discrepancy reporting workflow with root-cause categorisation, photo evidence and resolution sign-off.</w:t>
      </w:r>
    </w:p>
    <w:p>
      <w:pPr>
        <w:pStyle w:val="BodyText"/>
      </w:pPr>
      <w:r>
        <w:t>•  Independent second-inspector verification for high-value or high-risk sites.</w:t>
      </w:r>
    </w:p>
    <w:p>
      <w:pPr>
        <w:pStyle w:val="Heading3"/>
      </w:pPr>
      <w:r>
        <w:t>2.6 Release &amp; Movement Authorization</w:t>
      </w:r>
    </w:p>
    <w:p>
      <w:pPr>
        <w:pStyle w:val="BodyText"/>
      </w:pPr>
      <w:r>
        <w:t>•  Dual-control (maker–checker) approval workflow for any collateral release or substitution.</w:t>
      </w:r>
    </w:p>
    <w:p>
      <w:pPr>
        <w:pStyle w:val="BodyText"/>
      </w:pPr>
      <w:r>
        <w:t>•  Lender / financier release request and approval integration, with OTP or digital-signature confirmation.</w:t>
      </w:r>
    </w:p>
    <w:p>
      <w:pPr>
        <w:pStyle w:val="BodyText"/>
      </w:pPr>
      <w:r>
        <w:t>•  Automatic hold / block on stock movement when collateral coverage would fall below agreed thresholds.</w:t>
      </w:r>
    </w:p>
    <w:p>
      <w:pPr>
        <w:pStyle w:val="BodyText"/>
      </w:pPr>
      <w:r>
        <w:t>•  Full chain-of-custody log from intake to final release.</w:t>
      </w:r>
    </w:p>
    <w:p>
      <w:pPr>
        <w:pStyle w:val="Heading3"/>
      </w:pPr>
      <w:r>
        <w:t>2.7 Client / Lender Portal</w:t>
      </w:r>
    </w:p>
    <w:p>
      <w:pPr>
        <w:pStyle w:val="BodyText"/>
      </w:pPr>
      <w:r>
        <w:t>•  Real-time collateral-coverage dashboard per site, per client and per commodity.</w:t>
      </w:r>
    </w:p>
    <w:p>
      <w:pPr>
        <w:pStyle w:val="BodyText"/>
      </w:pPr>
      <w:r>
        <w:t>•  Access to inspection reports, photo evidence and variance history.</w:t>
      </w:r>
    </w:p>
    <w:p>
      <w:pPr>
        <w:pStyle w:val="BodyText"/>
      </w:pPr>
      <w:r>
        <w:t>•  Release-request submission and status tracking.</w:t>
      </w:r>
    </w:p>
    <w:p>
      <w:pPr>
        <w:pStyle w:val="BodyText"/>
      </w:pPr>
      <w:r>
        <w:t>•  Covenant and threshold-breach notifications.</w:t>
      </w:r>
    </w:p>
    <w:p>
      <w:pPr>
        <w:pStyle w:val="Heading3"/>
      </w:pPr>
      <w:r>
        <w:t>2.8 Alerts &amp; Notifications</w:t>
      </w:r>
    </w:p>
    <w:p>
      <w:pPr>
        <w:pStyle w:val="BodyText"/>
      </w:pPr>
      <w:r>
        <w:t>•  Missed or overdue inspection alerts, escalated by site risk classification.</w:t>
      </w:r>
    </w:p>
    <w:p>
      <w:pPr>
        <w:pStyle w:val="BodyText"/>
      </w:pPr>
      <w:r>
        <w:t>•  Geofence breach and unauthorised movement alerts.</w:t>
      </w:r>
    </w:p>
    <w:p>
      <w:pPr>
        <w:pStyle w:val="BodyText"/>
      </w:pPr>
      <w:r>
        <w:t>•  Stock-variance and low-coverage alerts pushed to collateral managers and lenders.</w:t>
      </w:r>
    </w:p>
    <w:p>
      <w:pPr>
        <w:pStyle w:val="BodyText"/>
      </w:pPr>
      <w:r>
        <w:t>•  Sensor-driven alerts (temperature, moisture, level) for perishable or sensitive commodities.</w:t>
      </w:r>
    </w:p>
    <w:p>
      <w:pPr>
        <w:pStyle w:val="Heading3"/>
      </w:pPr>
      <w:r>
        <w:t>2.9 Reporting &amp; Compliance</w:t>
      </w:r>
    </w:p>
    <w:p>
      <w:pPr>
        <w:pStyle w:val="BodyText"/>
      </w:pPr>
      <w:r>
        <w:t>•  Chain-of-custody and audit-trail reports for regulatory and lender due diligence.</w:t>
      </w:r>
    </w:p>
    <w:p>
      <w:pPr>
        <w:pStyle w:val="BodyText"/>
      </w:pPr>
      <w:r>
        <w:t>•  Site-performance and inspector-KPI reporting (visit adherence, discrepancy rates).</w:t>
      </w:r>
    </w:p>
    <w:p>
      <w:pPr>
        <w:pStyle w:val="BodyText"/>
      </w:pPr>
      <w:r>
        <w:t>•  Regulatory and industry-standard reporting (e.g. warehouse-receipt financing, commodity trade-finance frameworks).</w:t>
      </w:r>
    </w:p>
    <w:p>
      <w:pPr>
        <w:pStyle w:val="BodyText"/>
      </w:pPr>
      <w:r>
        <w:t>•  Exportable reports for insurers and external auditors.</w:t>
      </w:r>
    </w:p>
    <w:p>
      <w:pPr>
        <w:pStyle w:val="Heading3"/>
      </w:pPr>
      <w:r>
        <w:t>2.10 Document Management</w:t>
      </w:r>
    </w:p>
    <w:p>
      <w:pPr>
        <w:pStyle w:val="BodyText"/>
      </w:pPr>
      <w:r>
        <w:t>•  Digital warehouse receipts and weighbridge tickets, generated and stored per movement.</w:t>
      </w:r>
    </w:p>
    <w:p>
      <w:pPr>
        <w:pStyle w:val="BodyText"/>
      </w:pPr>
      <w:r>
        <w:t>•  Certificate management: quality certificates, insurance, fumigation / treatment records.</w:t>
      </w:r>
    </w:p>
    <w:p>
      <w:pPr>
        <w:pStyle w:val="BodyText"/>
      </w:pPr>
      <w:r>
        <w:t>•  Version-controlled document repository linked to site, client and agreement records.</w:t>
      </w:r>
    </w:p>
    <w:p>
      <w:pPr>
        <w:pStyle w:val="Heading2"/>
      </w:pPr>
      <w:r>
        <w:t>3. Non-Functional Requirements</w:t>
      </w:r>
    </w:p>
    <w:p>
      <w:pPr>
        <w:pStyle w:val="BodyText"/>
      </w:pPr>
      <w:r>
        <w:t>•  Offline resilience — the field app must function fully at remote sites with no connectivity, queuing data for sync without loss.</w:t>
      </w:r>
    </w:p>
    <w:p>
      <w:pPr>
        <w:pStyle w:val="BodyText"/>
      </w:pPr>
      <w:r>
        <w:t>•  Location integrity — GPS and geofence data must be tamper-resistant, since check-in accuracy underpins the chain-of-custody claim.</w:t>
      </w:r>
    </w:p>
    <w:p>
      <w:pPr>
        <w:pStyle w:val="BodyText"/>
      </w:pPr>
      <w:r>
        <w:t>•  Scalability — the architecture must support hundreds to thousands of sites and field staff without central bottlenecks.</w:t>
      </w:r>
    </w:p>
    <w:p>
      <w:pPr>
        <w:pStyle w:val="BodyText"/>
      </w:pPr>
      <w:r>
        <w:t>•  Auditability — an immutable, timestamped log of every inspection, movement and approval, with full user attribution.</w:t>
      </w:r>
    </w:p>
    <w:p>
      <w:pPr>
        <w:pStyle w:val="BodyText"/>
      </w:pPr>
      <w:r>
        <w:t>•  Security — role-based access control, site-level data segregation for multi-client storage, encrypted evidence storage.</w:t>
      </w:r>
    </w:p>
    <w:p>
      <w:pPr>
        <w:pStyle w:val="BodyText"/>
      </w:pPr>
      <w:r>
        <w:t>•  Device flexibility — the mobile app must run on low-cost Android devices commonly available to field staff in remote regions.</w:t>
      </w:r>
    </w:p>
    <w:p>
      <w:pPr>
        <w:pStyle w:val="BodyText"/>
      </w:pPr>
      <w:r>
        <w:t>•  Resilience — head-office systems must tolerate intermittent connectivity from many simultaneously syncing field devices.</w:t>
      </w:r>
    </w:p>
    <w:p>
      <w:pPr>
        <w:pStyle w:val="Heading2"/>
      </w:pPr>
      <w:r>
        <w:t>4. System Architecture Overview</w:t>
      </w:r>
    </w:p>
    <w:p>
      <w:pPr>
        <w:pStyle w:val="BodyText"/>
      </w:pPr>
      <w:r>
        <w:t>The platform is best structured as a mobile-first, offline-capable field layer feeding into a cloud backend of domain services:</w:t>
      </w:r>
    </w:p>
    <w:p>
      <w:pPr>
        <w:pStyle w:val="BodyText"/>
      </w:pPr>
      <w:r>
        <w:t>•  Site &amp; agreement service — source of truth for sites, clients, commodities and storage agreements.</w:t>
      </w:r>
    </w:p>
    <w:p>
      <w:pPr>
        <w:pStyle w:val="BodyText"/>
      </w:pPr>
      <w:r>
        <w:t>•  Field sync service — manages offline data capture, conflict resolution and background synchronisation from the mobile app.</w:t>
      </w:r>
    </w:p>
    <w:p>
      <w:pPr>
        <w:pStyle w:val="BodyText"/>
      </w:pPr>
      <w:r>
        <w:t>•  Stock ledger &amp; valuation engine — maintains real-time collateral positions and coverage calculations.</w:t>
      </w:r>
    </w:p>
    <w:p>
      <w:pPr>
        <w:pStyle w:val="BodyText"/>
      </w:pPr>
      <w:r>
        <w:t>•  Inspection &amp; workflow engine — schedules inspections, tracks checklist completion and manages discrepancy resolution.</w:t>
      </w:r>
    </w:p>
    <w:p>
      <w:pPr>
        <w:pStyle w:val="BodyText"/>
      </w:pPr>
      <w:r>
        <w:t>•  Release &amp; approval engine — enforces dual-control and threshold rules before any stock movement is authorised.</w:t>
      </w:r>
    </w:p>
    <w:p>
      <w:pPr>
        <w:pStyle w:val="BodyText"/>
      </w:pPr>
      <w:r>
        <w:t>•  Integration layer — adapters for weighbridges, IoT sensors, mapping, lender systems and notification gateways.</w:t>
      </w:r>
    </w:p>
    <w:p>
      <w:pPr>
        <w:pStyle w:val="BodyText"/>
      </w:pPr>
      <w:r>
        <w:t>•  Reporting &amp; analytics layer — chain-of-custody, compliance and KPI reporting, typically fed via an event stream or data warehouse.</w:t>
      </w:r>
    </w:p>
    <w:p>
      <w:pPr>
        <w:pStyle w:val="Heading2"/>
      </w:pPr>
      <w:r>
        <w:t>5. Key Integration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/ Device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Protocol</w:t>
            </w:r>
          </w:p>
        </w:tc>
      </w:tr>
      <w:tr>
        <w:tc>
          <w:tcPr>
            <w:tcW w:type="dxa" w:w="2880"/>
          </w:tcPr>
          <w:p>
            <w:r>
              <w:t>Weighbridge &amp; scales</w:t>
            </w:r>
          </w:p>
        </w:tc>
        <w:tc>
          <w:tcPr>
            <w:tcW w:type="dxa" w:w="2880"/>
          </w:tcPr>
          <w:p>
            <w:r>
              <w:t>Automated intake / outtake weight capture per movement</w:t>
            </w:r>
          </w:p>
        </w:tc>
        <w:tc>
          <w:tcPr>
            <w:tcW w:type="dxa" w:w="2880"/>
          </w:tcPr>
          <w:p>
            <w:r>
              <w:t>Serial / IoT gateway → API</w:t>
            </w:r>
          </w:p>
        </w:tc>
      </w:tr>
      <w:tr>
        <w:tc>
          <w:tcPr>
            <w:tcW w:type="dxa" w:w="2880"/>
          </w:tcPr>
          <w:p>
            <w:r>
              <w:t>IoT sensors (silo / tank / warehouse)</w:t>
            </w:r>
          </w:p>
        </w:tc>
        <w:tc>
          <w:tcPr>
            <w:tcW w:type="dxa" w:w="2880"/>
          </w:tcPr>
          <w:p>
            <w:r>
              <w:t>Level, temperature, humidity, moisture telemetry</w:t>
            </w:r>
          </w:p>
        </w:tc>
        <w:tc>
          <w:tcPr>
            <w:tcW w:type="dxa" w:w="2880"/>
          </w:tcPr>
          <w:p>
            <w:r>
              <w:t>MQTT / LoRaWAN → API</w:t>
            </w:r>
          </w:p>
        </w:tc>
      </w:tr>
      <w:tr>
        <w:tc>
          <w:tcPr>
            <w:tcW w:type="dxa" w:w="2880"/>
          </w:tcPr>
          <w:p>
            <w:r>
              <w:t>GPS / mapping services</w:t>
            </w:r>
          </w:p>
        </w:tc>
        <w:tc>
          <w:tcPr>
            <w:tcW w:type="dxa" w:w="2880"/>
          </w:tcPr>
          <w:p>
            <w:r>
              <w:t>Site geofencing, inspector routing, check-in verification</w:t>
            </w:r>
          </w:p>
        </w:tc>
        <w:tc>
          <w:tcPr>
            <w:tcW w:type="dxa" w:w="2880"/>
          </w:tcPr>
          <w:p>
            <w:r>
              <w:t>REST API (maps provider)</w:t>
            </w:r>
          </w:p>
        </w:tc>
      </w:tr>
      <w:tr>
        <w:tc>
          <w:tcPr>
            <w:tcW w:type="dxa" w:w="2880"/>
          </w:tcPr>
          <w:p>
            <w:r>
              <w:t>Lender / bank systems</w:t>
            </w:r>
          </w:p>
        </w:tc>
        <w:tc>
          <w:tcPr>
            <w:tcW w:type="dxa" w:w="2880"/>
          </w:tcPr>
          <w:p>
            <w:r>
              <w:t>Collateral-position feeds, drawdown / release triggers</w:t>
            </w:r>
          </w:p>
        </w:tc>
        <w:tc>
          <w:tcPr>
            <w:tcW w:type="dxa" w:w="2880"/>
          </w:tcPr>
          <w:p>
            <w:r>
              <w:t>SFTP / REST API</w:t>
            </w:r>
          </w:p>
        </w:tc>
      </w:tr>
      <w:tr>
        <w:tc>
          <w:tcPr>
            <w:tcW w:type="dxa" w:w="2880"/>
          </w:tcPr>
          <w:p>
            <w:r>
              <w:t>ERP / inventory systems</w:t>
            </w:r>
          </w:p>
        </w:tc>
        <w:tc>
          <w:tcPr>
            <w:tcW w:type="dxa" w:w="2880"/>
          </w:tcPr>
          <w:p>
            <w:r>
              <w:t>Stock reconciliation against client-reported inventory</w:t>
            </w:r>
          </w:p>
        </w:tc>
        <w:tc>
          <w:tcPr>
            <w:tcW w:type="dxa" w:w="2880"/>
          </w:tcPr>
          <w:p>
            <w:r>
              <w:t>API / batch file</w:t>
            </w:r>
          </w:p>
        </w:tc>
      </w:tr>
      <w:tr>
        <w:tc>
          <w:tcPr>
            <w:tcW w:type="dxa" w:w="2880"/>
          </w:tcPr>
          <w:p>
            <w:r>
              <w:t>SMS / push notification gateway</w:t>
            </w:r>
          </w:p>
        </w:tc>
        <w:tc>
          <w:tcPr>
            <w:tcW w:type="dxa" w:w="2880"/>
          </w:tcPr>
          <w:p>
            <w:r>
              <w:t>Field alerts, OTP verification for release approvals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</w:tr>
      <w:tr>
        <w:tc>
          <w:tcPr>
            <w:tcW w:type="dxa" w:w="2880"/>
          </w:tcPr>
          <w:p>
            <w:r>
              <w:t>Document / image storage</w:t>
            </w:r>
          </w:p>
        </w:tc>
        <w:tc>
          <w:tcPr>
            <w:tcW w:type="dxa" w:w="2880"/>
          </w:tcPr>
          <w:p>
            <w:r>
              <w:t>Photo, video and signed-document evidence from inspections</w:t>
            </w:r>
          </w:p>
        </w:tc>
        <w:tc>
          <w:tcPr>
            <w:tcW w:type="dxa" w:w="2880"/>
          </w:tcPr>
          <w:p>
            <w:r>
              <w:t>Object storage (S3-compatible)</w:t>
            </w:r>
          </w:p>
        </w:tc>
      </w:tr>
    </w:tbl>
    <w:p>
      <w:pPr>
        <w:pStyle w:val="Heading2"/>
      </w:pPr>
      <w:r>
        <w:t>6. User Roles</w:t>
      </w:r>
    </w:p>
    <w:p>
      <w:pPr>
        <w:pStyle w:val="BodyText"/>
      </w:pPr>
      <w:r>
        <w:t>•  Field inspector — conducts site visits, stock counts and evidence capture via the mobile app.</w:t>
      </w:r>
    </w:p>
    <w:p>
      <w:pPr>
        <w:pStyle w:val="BodyText"/>
      </w:pPr>
      <w:r>
        <w:t>•  Site supervisor — oversees a single site or cluster of sites; reviews and countersigns inspection results.</w:t>
      </w:r>
    </w:p>
    <w:p>
      <w:pPr>
        <w:pStyle w:val="BodyText"/>
      </w:pPr>
      <w:r>
        <w:t>•  Collateral manager (head office) — monitors coverage across all sites, approves releases, manages exceptions.</w:t>
      </w:r>
    </w:p>
    <w:p>
      <w:pPr>
        <w:pStyle w:val="BodyText"/>
      </w:pPr>
      <w:r>
        <w:t>•  Compliance / risk officer — reviews audit trails, discrepancy trends and regulatory reporting.</w:t>
      </w:r>
    </w:p>
    <w:p>
      <w:pPr>
        <w:pStyle w:val="BodyText"/>
      </w:pPr>
      <w:r>
        <w:t>•  Client / depositor — views their stock position and requests movements, where permitted.</w:t>
      </w:r>
    </w:p>
    <w:p>
      <w:pPr>
        <w:pStyle w:val="BodyText"/>
      </w:pPr>
      <w:r>
        <w:t>•  Lender / financier (portal) — monitors collateral coverage and approves or requests releases.</w:t>
      </w:r>
    </w:p>
    <w:p>
      <w:pPr>
        <w:pStyle w:val="BodyText"/>
      </w:pPr>
      <w:r>
        <w:t>•  System administrator — manages site onboarding, staff accounts, entitlements and integration health.</w:t>
      </w:r>
    </w:p>
    <w:p>
      <w:pPr>
        <w:pStyle w:val="Heading2"/>
      </w:pPr>
      <w:r>
        <w:t>7. Suggested Technology Stack</w:t>
      </w:r>
    </w:p>
    <w:p>
      <w:pPr>
        <w:pStyle w:val="BodyText"/>
      </w:pPr>
      <w:r>
        <w:t>•  Mobile field app: Flutter or React Native for cross-platform offline-first development, with a local embedded database (SQLite) and background sync.</w:t>
      </w:r>
    </w:p>
    <w:p>
      <w:pPr>
        <w:pStyle w:val="BodyText"/>
      </w:pPr>
      <w:r>
        <w:t>•  Backend: Node.js or Java (Spring Boot) microservices for the site, stock and workflow domains.</w:t>
      </w:r>
    </w:p>
    <w:p>
      <w:pPr>
        <w:pStyle w:val="BodyText"/>
      </w:pPr>
      <w:r>
        <w:t>•  Database: PostgreSQL for transactional data; a time-series store (e.g. TimescaleDB) for IoT sensor telemetry.</w:t>
      </w:r>
    </w:p>
    <w:p>
      <w:pPr>
        <w:pStyle w:val="BodyText"/>
      </w:pPr>
      <w:r>
        <w:t>•  Messaging: Kafka or similar for movement events, alerts and sync reconciliation.</w:t>
      </w:r>
    </w:p>
    <w:p>
      <w:pPr>
        <w:pStyle w:val="BodyText"/>
      </w:pPr>
      <w:r>
        <w:t>•  Maps &amp; geofencing: a commercial maps / geolocation API for site boundaries and inspector routing.</w:t>
      </w:r>
    </w:p>
    <w:p>
      <w:pPr>
        <w:pStyle w:val="BodyText"/>
      </w:pPr>
      <w:r>
        <w:t>•  Frontend: a React / Angular SPA for the head-office console and the client / lender portal.</w:t>
      </w:r>
    </w:p>
    <w:p>
      <w:pPr>
        <w:pStyle w:val="BodyText"/>
      </w:pPr>
      <w:r>
        <w:t>•  Infrastructure: containerised microservices (Kubernetes) with regional edge caching to support low-bandwidth field sync.</w:t>
      </w:r>
    </w:p>
    <w:p>
      <w:pPr>
        <w:pStyle w:val="BodyText"/>
      </w:pPr>
      <w:r>
        <w:t>Note: this stack is the client's own suggestion. Where the subsidiary's system is built inside MBMS it follows the platform's established stack (NestJS / Fastify + Prisma + PostgreSQL, a React SPA, and the existing audit, notification and localisation layers) rather than introducing a parallel one; see Section 10.</w:t>
      </w:r>
    </w:p>
    <w:p>
      <w:pPr>
        <w:pStyle w:val="Heading2"/>
      </w:pPr>
      <w:r>
        <w:t>8. Organisation as Built (in MBMS today)</w:t>
      </w:r>
    </w:p>
    <w:p>
      <w:pPr>
        <w:pStyle w:val="BodyText"/>
      </w:pPr>
      <w:r>
        <w:t>Real records in MBMS now, created and managed by the Managing Director.</w:t>
      </w:r>
    </w:p>
    <w:p>
      <w:pPr>
        <w:pStyle w:val="Heading3"/>
      </w:pPr>
      <w:r>
        <w:t>8.1 Company</w:t>
      </w:r>
    </w:p>
    <w:p>
      <w:pPr>
        <w:pStyle w:val="BodyText"/>
      </w:pPr>
      <w:r>
        <w:t>•  Morise Collateral Management Ltd — wholly-owned (100%) subsidiary of Morise Holdings Limited, UGX, financial year starting 1 January; registered office Plot 7, Kyadondo Road, Nakasero, Kampala.</w:t>
      </w:r>
    </w:p>
    <w:p>
      <w:pPr>
        <w:pStyle w:val="Heading3"/>
      </w:pPr>
      <w:r>
        <w:t>8.2 Sites / Branches</w:t>
      </w:r>
    </w:p>
    <w:p>
      <w:pPr>
        <w:pStyle w:val="BodyText"/>
      </w:pPr>
      <w:r>
        <w:t>•  Kampala Head Office — head-office console, collateral management, risk and compliance.</w:t>
      </w:r>
    </w:p>
    <w:p>
      <w:pPr>
        <w:pStyle w:val="BodyText"/>
      </w:pPr>
      <w:r>
        <w:t>•  Jinja Grain Silos Site.</w:t>
      </w:r>
    </w:p>
    <w:p>
      <w:pPr>
        <w:pStyle w:val="BodyText"/>
      </w:pPr>
      <w:r>
        <w:t>•  Mbale Warehouse Site.</w:t>
      </w:r>
    </w:p>
    <w:p>
      <w:pPr>
        <w:pStyle w:val="BodyText"/>
      </w:pPr>
      <w:r>
        <w:t>•  Masindi Grain Store Site.</w:t>
      </w:r>
    </w:p>
    <w:p>
      <w:pPr>
        <w:pStyle w:val="BodyText"/>
      </w:pPr>
      <w:r>
        <w:t>•  Kasese Cold Store Site.</w:t>
      </w:r>
    </w:p>
    <w:p>
      <w:pPr>
        <w:pStyle w:val="BodyText"/>
      </w:pPr>
      <w:r>
        <w:t>•  Buikwe Tank Farm Site.</w:t>
      </w:r>
    </w:p>
    <w:p>
      <w:pPr>
        <w:pStyle w:val="Heading3"/>
      </w:pPr>
      <w:r>
        <w:t>8.3 Departments</w:t>
      </w:r>
    </w:p>
    <w:p>
      <w:pPr>
        <w:pStyle w:val="BodyText"/>
      </w:pPr>
      <w:r>
        <w:t>•  Field Inspection.</w:t>
      </w:r>
    </w:p>
    <w:p>
      <w:pPr>
        <w:pStyle w:val="BodyText"/>
      </w:pPr>
      <w:r>
        <w:t>•  Site &amp; Warehouse Management.</w:t>
      </w:r>
    </w:p>
    <w:p>
      <w:pPr>
        <w:pStyle w:val="BodyText"/>
      </w:pPr>
      <w:r>
        <w:t>•  Stock &amp; Collateral Control.</w:t>
      </w:r>
    </w:p>
    <w:p>
      <w:pPr>
        <w:pStyle w:val="BodyText"/>
      </w:pPr>
      <w:r>
        <w:t>•  Inspection &amp; Audit.</w:t>
      </w:r>
    </w:p>
    <w:p>
      <w:pPr>
        <w:pStyle w:val="BodyText"/>
      </w:pPr>
      <w:r>
        <w:t>•  Release &amp; Movement Authorization.</w:t>
      </w:r>
    </w:p>
    <w:p>
      <w:pPr>
        <w:pStyle w:val="BodyText"/>
      </w:pPr>
      <w:r>
        <w:t>•  Client &amp; Lender Relations.</w:t>
      </w:r>
    </w:p>
    <w:p>
      <w:pPr>
        <w:pStyle w:val="BodyText"/>
      </w:pPr>
      <w:r>
        <w:t>•  Compliance &amp; Risk.</w:t>
      </w:r>
    </w:p>
    <w:p>
      <w:pPr>
        <w:pStyle w:val="BodyText"/>
      </w:pPr>
      <w:r>
        <w:t>•  Workforce &amp; Rostering.</w:t>
      </w:r>
    </w:p>
    <w:p>
      <w:pPr>
        <w:pStyle w:val="BodyText"/>
      </w:pPr>
      <w:r>
        <w:t>•  IT &amp; Integrations.</w:t>
      </w:r>
    </w:p>
    <w:p>
      <w:pPr>
        <w:pStyle w:val="Heading3"/>
      </w:pPr>
      <w:r>
        <w:t>8.4 Starter Policies</w:t>
      </w:r>
    </w:p>
    <w:p>
      <w:pPr>
        <w:pStyle w:val="BodyText"/>
      </w:pPr>
      <w:r>
        <w:t>•  GPS &amp; Evidence Integrity — every site check-in geofence-verified; photos / video carry timestamp, geotag and tamper-evident hash.</w:t>
      </w:r>
    </w:p>
    <w:p>
      <w:pPr>
        <w:pStyle w:val="BodyText"/>
      </w:pPr>
      <w:r>
        <w:t>•  Dual-Control Release Approval — every collateral release or substitution requires maker–checker approval plus a lender OTP / digital signature.</w:t>
      </w:r>
    </w:p>
    <w:p>
      <w:pPr>
        <w:pStyle w:val="BodyText"/>
      </w:pPr>
      <w:r>
        <w:t>•  Coverage Threshold Auto-Hold — stock movement is blocked automatically whenever it would take coverage below the agreed threshold.</w:t>
      </w:r>
    </w:p>
    <w:p>
      <w:pPr>
        <w:pStyle w:val="BodyText"/>
      </w:pPr>
      <w:r>
        <w:t>•  Offline Field Sync — field devices operate fully offline and must sync within 24 hours of connectivity resuming; no data discarded on conflict.</w:t>
      </w:r>
    </w:p>
    <w:p>
      <w:pPr>
        <w:pStyle w:val="BodyText"/>
      </w:pPr>
      <w:r>
        <w:t>•  Multi-Client Stock Segregation — stock at shared sites is logically separated by owner; commingling is prohibited and blocked at intake.</w:t>
      </w:r>
    </w:p>
    <w:p>
      <w:pPr>
        <w:pStyle w:val="BodyText"/>
      </w:pPr>
      <w:r>
        <w:t>•  Inspection Frequency by Risk — each site's inspection cadence is set by its risk class; missed inspections escalate, faster for higher-risk sites.</w:t>
      </w:r>
    </w:p>
    <w:p>
      <w:pPr>
        <w:pStyle w:val="Heading2"/>
      </w:pPr>
      <w:r>
        <w:t>9. Delivery Roadmap (Phased Backlog)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1. Foundation</w:t>
            </w:r>
          </w:p>
        </w:tc>
        <w:tc>
          <w:tcPr>
            <w:tcW w:type="dxa" w:w="2880"/>
          </w:tcPr>
          <w:p>
            <w:r>
              <w:t>6–8 weeks</w:t>
            </w:r>
          </w:p>
        </w:tc>
        <w:tc>
          <w:tcPr>
            <w:tcW w:type="dxa" w:w="2880"/>
          </w:tcPr>
          <w:p>
            <w:r>
              <w:t>Site registry, staff / roles, client &amp; agreement setup, core admin backend (org setup done — company, sites, departments, policies seeded).</w:t>
            </w:r>
          </w:p>
        </w:tc>
      </w:tr>
      <w:tr>
        <w:tc>
          <w:tcPr>
            <w:tcW w:type="dxa" w:w="2880"/>
          </w:tcPr>
          <w:p>
            <w:r>
              <w:t>2. Field app (offline-first)</w:t>
            </w:r>
          </w:p>
        </w:tc>
        <w:tc>
          <w:tcPr>
            <w:tcW w:type="dxa" w:w="2880"/>
          </w:tcPr>
          <w:p>
            <w:r>
              <w:t>10–12 weeks</w:t>
            </w:r>
          </w:p>
        </w:tc>
        <w:tc>
          <w:tcPr>
            <w:tcW w:type="dxa" w:w="2880"/>
          </w:tcPr>
          <w:p>
            <w:r>
              <w:t>Inspector mobile app: check-in / out, checklists, photo capture, offline sync.</w:t>
            </w:r>
          </w:p>
        </w:tc>
      </w:tr>
      <w:tr>
        <w:tc>
          <w:tcPr>
            <w:tcW w:type="dxa" w:w="2880"/>
          </w:tcPr>
          <w:p>
            <w:r>
              <w:t>3. Stock &amp; movements</w:t>
            </w:r>
          </w:p>
        </w:tc>
        <w:tc>
          <w:tcPr>
            <w:tcW w:type="dxa" w:w="2880"/>
          </w:tcPr>
          <w:p>
            <w:r>
              <w:t>8–10 weeks</w:t>
            </w:r>
          </w:p>
        </w:tc>
        <w:tc>
          <w:tcPr>
            <w:tcW w:type="dxa" w:w="2880"/>
          </w:tcPr>
          <w:p>
            <w:r>
              <w:t>Intake / outtake workflows, weighbridge integration, reconciliation engine.</w:t>
            </w:r>
          </w:p>
        </w:tc>
      </w:tr>
      <w:tr>
        <w:tc>
          <w:tcPr>
            <w:tcW w:type="dxa" w:w="2880"/>
          </w:tcPr>
          <w:p>
            <w:r>
              <w:t>4. Release &amp; controls</w:t>
            </w:r>
          </w:p>
        </w:tc>
        <w:tc>
          <w:tcPr>
            <w:tcW w:type="dxa" w:w="2880"/>
          </w:tcPr>
          <w:p>
            <w:r>
              <w:t>6–8 weeks</w:t>
            </w:r>
          </w:p>
        </w:tc>
        <w:tc>
          <w:tcPr>
            <w:tcW w:type="dxa" w:w="2880"/>
          </w:tcPr>
          <w:p>
            <w:r>
              <w:t>Dual-control release approvals, lender portal, alerts &amp; geofencing.</w:t>
            </w:r>
          </w:p>
        </w:tc>
      </w:tr>
      <w:tr>
        <w:tc>
          <w:tcPr>
            <w:tcW w:type="dxa" w:w="2880"/>
          </w:tcPr>
          <w:p>
            <w:r>
              <w:t>5. Reporting &amp; hardening</w:t>
            </w:r>
          </w:p>
        </w:tc>
        <w:tc>
          <w:tcPr>
            <w:tcW w:type="dxa" w:w="2880"/>
          </w:tcPr>
          <w:p>
            <w:r>
              <w:t>6 weeks</w:t>
            </w:r>
          </w:p>
        </w:tc>
        <w:tc>
          <w:tcPr>
            <w:tcW w:type="dxa" w:w="2880"/>
          </w:tcPr>
          <w:p>
            <w:r>
              <w:t>Compliance reporting, dashboards, performance / security testing, rollout.</w:t>
            </w:r>
          </w:p>
        </w:tc>
      </w:tr>
    </w:tbl>
    <w:p>
      <w:pPr>
        <w:pStyle w:val="Heading2"/>
      </w:pPr>
      <w:r>
        <w:t>10. Relationship to the Existing MBMS Platform</w:t>
      </w:r>
    </w:p>
    <w:p>
      <w:pPr>
        <w:pStyle w:val="BodyText"/>
      </w:pPr>
      <w:r>
        <w:t>Where the platform already has a capability, the CMS reuses it: identity, roles and per-branch (per-site) scope; company / branch / department / policy management; the subsidiary-lifecycle capability; suppliers, the general ledger and expenses for the subsidiary's own books; the audit trail; notifications; shift scheduling and workforce records; the document / content model; and the storefront's localisation layer (Luganda / Swahili / Runyankole interfaces, currency and figure formatting) for any client-facing surface. New, collateral-specific domains — the geofenced site registry, the offline-first field inspector app and its sync service, tamper-evident photo / GPS evidence, the per-site stock ledger and valuation / coverage engine, variance-driven inspection workflows, dual-control release authorisation with lender OTP, the client / lender portal, weighbridge and IoT telemetry ingestion, and chain-of-custody reporting — are the net-new build described in Section 2. Its own accounting stays in the subsidiary's books under the group's consolidated reporting.</w:t>
      </w:r>
    </w:p>
    <w:p>
      <w:pPr>
        <w:pStyle w:val="Heading2"/>
      </w:pPr>
      <w:r>
        <w:t>11. Approval</w:t>
      </w:r>
    </w:p>
    <w:p>
      <w:pPr>
        <w:pStyle w:val="BodyText"/>
      </w:pPr>
      <w:r>
        <w:t>This specification is approved as the basis for the Multi-Site Collateral Management System backlog. Scope, sequencing and integration priorities follow the same change-control process as the rest of the MBMS documentation set.</w:t>
      </w:r>
    </w:p>
    <w:p>
      <w:pPr>
        <w:pStyle w:val="Heading2"/>
      </w:pPr>
      <w:r>
        <w:t>Addendum (30 August 2026) — Full-page Disclaimer Gate</w:t>
      </w:r>
    </w:p>
    <w:p>
      <w:pPr>
        <w:pStyle w:val="BodyText"/>
      </w:pPr>
      <w:r>
        <w:t>The MBMS Customer Storefront now shows the demonstration disclaimer as a full-page gate (10-second hold + “I Understand, Continue”) before the landing page, with its statements managed by admin staff (new table disclaimer_items; CRUD under /api/v1/cms/disclaimer-items; public GET /api/v1/customer-portal/public/disclaimer). No change to this specification’s scope.</w:t>
      </w:r>
    </w:p>
    <w:p>
      <w:pPr>
        <w:pStyle w:val="Heading2"/>
      </w:pPr>
      <w:r>
        <w:t>Addendum (30 August 2026) — Pre-login Pages Localised</w:t>
      </w:r>
    </w:p>
    <w:p>
      <w:pPr>
        <w:pStyle w:val="BodyText"/>
      </w:pPr>
      <w:r>
        <w:t>The MBMS Customer Storefront’s pre-login corporate surface (the full-page disclaimer gate, the landing page and the corporate mini-site) now renders in the language the visitor chooses or their browser indicates: the UI strings are translated into eight languages and the seeded disclaimer statements are translated on read (Arabic right-to-left). No change to this specification’s scope.</w:t>
      </w:r>
    </w:p>
    <w:p>
      <w:pPr>
        <w:pStyle w:val="Heading2"/>
      </w:pPr>
      <w:r>
        <w:t>Addendum (30 August 2026) — Services Catalogue Seeded into the Storefront</w:t>
      </w:r>
    </w:p>
    <w:p>
      <w:pPr>
        <w:pStyle w:val="BodyText"/>
      </w:pPr>
      <w:r>
        <w:t>Morise Collateral Management Ltd's service offering is drawn from the client-supplied reference catalogue “Services Offered by Collateral Management Companies” (retained in docx/ as Collateral-Management-Company-Services-Catalog.docx). Collateral management companies act as independent third parties that let a business unlock financing against goods or assets it holds, by giving a lender verified control and visibility over that collateral. The reference catalogue groups the services as follows.</w:t>
      </w:r>
    </w:p>
    <w:p>
      <w:pPr>
        <w:pStyle w:val="Heading3"/>
      </w:pPr>
      <w:r>
        <w:t>Reference service categories</w:t>
      </w:r>
    </w:p>
    <w:p>
      <w:pPr>
        <w:pStyle w:val="Heading3"/>
      </w:pPr>
      <w:r>
        <w:t>1. Core Custody &amp; Control Services</w:t>
      </w:r>
    </w:p>
    <w:p>
      <w:pPr>
        <w:pStyle w:val="BodyText"/>
      </w:pPr>
      <w:r>
        <w:t>•  Collateral management agreements (CMAs) — taking physical possession or control of goods on behalf of a lender, independent of the borrower.</w:t>
      </w:r>
    </w:p>
    <w:p>
      <w:pPr>
        <w:pStyle w:val="BodyText"/>
      </w:pPr>
      <w:r>
        <w:t>•  Field warehousing — controlling storage at or near the borrower's own site without goods leaving the premises.</w:t>
      </w:r>
    </w:p>
    <w:p>
      <w:pPr>
        <w:pStyle w:val="BodyText"/>
      </w:pPr>
      <w:r>
        <w:t>•  Third-party / public warehousing — storage at an independently operated, licensed facility.</w:t>
      </w:r>
    </w:p>
    <w:p>
      <w:pPr>
        <w:pStyle w:val="BodyText"/>
      </w:pPr>
      <w:r>
        <w:t>•  Warehouse receipt issuance — negotiable or non-negotiable receipts, or certificates of deposit, that can be pledged as loan collateral.</w:t>
      </w:r>
    </w:p>
    <w:p>
      <w:pPr>
        <w:pStyle w:val="BodyText"/>
      </w:pPr>
      <w:r>
        <w:t>•  Bailee / custodian services — legal responsibility for safekeeping, releasing goods only on the lender's instruction.</w:t>
      </w:r>
    </w:p>
    <w:p>
      <w:pPr>
        <w:pStyle w:val="Heading3"/>
      </w:pPr>
      <w:r>
        <w:t>2. Inspection &amp; Verification Services</w:t>
      </w:r>
    </w:p>
    <w:p>
      <w:pPr>
        <w:pStyle w:val="BodyText"/>
      </w:pPr>
      <w:r>
        <w:t>•  Quantity inspection — weighing, tallying and volumetric measurement, including weighbridge and tank / silo gauging.</w:t>
      </w:r>
    </w:p>
    <w:p>
      <w:pPr>
        <w:pStyle w:val="BodyText"/>
      </w:pPr>
      <w:r>
        <w:t>•  Quality inspection &amp; sampling — grading, moisture testing, contamination checks and laboratory analysis.</w:t>
      </w:r>
    </w:p>
    <w:p>
      <w:pPr>
        <w:pStyle w:val="BodyText"/>
      </w:pPr>
      <w:r>
        <w:t>•  Pre-shipment and loading / discharge supervision — for goods in transit or moving through ports.</w:t>
      </w:r>
    </w:p>
    <w:p>
      <w:pPr>
        <w:pStyle w:val="BodyText"/>
      </w:pPr>
      <w:r>
        <w:t>•  Periodic and random site audits — scheduled and surprise stock counts to deter and detect discrepancies.</w:t>
      </w:r>
    </w:p>
    <w:p>
      <w:pPr>
        <w:pStyle w:val="BodyText"/>
      </w:pPr>
      <w:r>
        <w:t>•  Fumigation, treatment &amp; pest-control certification — particularly for agricultural commodities.</w:t>
      </w:r>
    </w:p>
    <w:p>
      <w:pPr>
        <w:pStyle w:val="Heading3"/>
      </w:pPr>
      <w:r>
        <w:t>3. Stock &amp; Movement Management</w:t>
      </w:r>
    </w:p>
    <w:p>
      <w:pPr>
        <w:pStyle w:val="BodyText"/>
      </w:pPr>
      <w:r>
        <w:t>•  Intake and outtake processing — recording every movement of goods in and out of storage.</w:t>
      </w:r>
    </w:p>
    <w:p>
      <w:pPr>
        <w:pStyle w:val="BodyText"/>
      </w:pPr>
      <w:r>
        <w:t>•  Stock reconciliation — comparing physical counts against system / ERP records, with variance and discrepancy reporting.</w:t>
      </w:r>
    </w:p>
    <w:p>
      <w:pPr>
        <w:pStyle w:val="BodyText"/>
      </w:pPr>
      <w:r>
        <w:t>•  Release authorization (dual control) — maker–checker approval before goods can leave, tied to explicit lender instructions.</w:t>
      </w:r>
    </w:p>
    <w:p>
      <w:pPr>
        <w:pStyle w:val="BodyText"/>
      </w:pPr>
      <w:r>
        <w:t>•  Substitution and top-up management — swapping or replenishing collateral to maintain required coverage.</w:t>
      </w:r>
    </w:p>
    <w:p>
      <w:pPr>
        <w:pStyle w:val="BodyText"/>
      </w:pPr>
      <w:r>
        <w:t>•  Multi-client / multi-commodity segregation — logical separation of ownership within shared storage facilities.</w:t>
      </w:r>
    </w:p>
    <w:p>
      <w:pPr>
        <w:pStyle w:val="Heading3"/>
      </w:pPr>
      <w:r>
        <w:t>4. Risk &amp; Valuation Services</w:t>
      </w:r>
    </w:p>
    <w:p>
      <w:pPr>
        <w:pStyle w:val="BodyText"/>
      </w:pPr>
      <w:r>
        <w:t>•  Collateral valuation and mark-to-market — linking stock quantities to current commodity prices for coverage-ratio calculation.</w:t>
      </w:r>
    </w:p>
    <w:p>
      <w:pPr>
        <w:pStyle w:val="BodyText"/>
      </w:pPr>
      <w:r>
        <w:t>•  Loan-to-value (LTV) / coverage-ratio monitoring — alerting lenders when coverage falls below agreed thresholds.</w:t>
      </w:r>
    </w:p>
    <w:p>
      <w:pPr>
        <w:pStyle w:val="BodyText"/>
      </w:pPr>
      <w:r>
        <w:t>•  Price and basis-risk advisory — supporting lenders' understanding of exposure to commodity price movements.</w:t>
      </w:r>
    </w:p>
    <w:p>
      <w:pPr>
        <w:pStyle w:val="BodyText"/>
      </w:pPr>
      <w:r>
        <w:t>•  Insurance arrangement / verification — ensuring stored goods carry adequate, verifiable coverage.</w:t>
      </w:r>
    </w:p>
    <w:p>
      <w:pPr>
        <w:pStyle w:val="Heading3"/>
      </w:pPr>
      <w:r>
        <w:t>5. Reporting &amp; Compliance Services</w:t>
      </w:r>
    </w:p>
    <w:p>
      <w:pPr>
        <w:pStyle w:val="BodyText"/>
      </w:pPr>
      <w:r>
        <w:t>•  Daily / periodic stock-position reports — issued to lenders and depositors.</w:t>
      </w:r>
    </w:p>
    <w:p>
      <w:pPr>
        <w:pStyle w:val="BodyText"/>
      </w:pPr>
      <w:r>
        <w:t>•  Chain-of-custody and audit-trail documentation — supporting enforcement and dispute resolution.</w:t>
      </w:r>
    </w:p>
    <w:p>
      <w:pPr>
        <w:pStyle w:val="BodyText"/>
      </w:pPr>
      <w:r>
        <w:t>•  Regulatory and lender-covenant reporting — aligned to jurisdictional and facility-specific requirements.</w:t>
      </w:r>
    </w:p>
    <w:p>
      <w:pPr>
        <w:pStyle w:val="BodyText"/>
      </w:pPr>
      <w:r>
        <w:t>•  Dispute and discrepancy resolution reporting — structured records of variance investigation and outcomes.</w:t>
      </w:r>
    </w:p>
    <w:p>
      <w:pPr>
        <w:pStyle w:val="BodyText"/>
      </w:pPr>
      <w:r>
        <w:t>•  Digital client and lender portals — real-time visibility into stock and collateral positions.</w:t>
      </w:r>
    </w:p>
    <w:p>
      <w:pPr>
        <w:pStyle w:val="Heading3"/>
      </w:pPr>
      <w:r>
        <w:t>6. Structuring &amp; Advisory Services</w:t>
      </w:r>
    </w:p>
    <w:p>
      <w:pPr>
        <w:pStyle w:val="BodyText"/>
      </w:pPr>
      <w:r>
        <w:t>•  Warehouse receipt system (WRS) structuring — particularly in markets with formal WRS frameworks.</w:t>
      </w:r>
    </w:p>
    <w:p>
      <w:pPr>
        <w:pStyle w:val="BodyText"/>
      </w:pPr>
      <w:r>
        <w:t>•  Legal and contractual structuring of CMAs — bailment terms, release protocols and liability allocation.</w:t>
      </w:r>
    </w:p>
    <w:p>
      <w:pPr>
        <w:pStyle w:val="BodyText"/>
      </w:pPr>
      <w:r>
        <w:t>•  Facility / site accreditation — assessing whether a warehouse or storage site meets lender-acceptable standards.</w:t>
      </w:r>
    </w:p>
    <w:p>
      <w:pPr>
        <w:pStyle w:val="BodyText"/>
      </w:pPr>
      <w:r>
        <w:t>•  KYC and counterparty due-diligence support — assisting lenders in vetting borrowers and facilities.</w:t>
      </w:r>
    </w:p>
    <w:p>
      <w:pPr>
        <w:pStyle w:val="Heading3"/>
      </w:pPr>
      <w:r>
        <w:t>7. Adjacent &amp; Extended Services</w:t>
      </w:r>
    </w:p>
    <w:p>
      <w:pPr>
        <w:pStyle w:val="BodyText"/>
      </w:pPr>
      <w:r>
        <w:t>•  Trade-finance facilitation — working alongside banks to structure inventory-backed lending, letters of credit and receivables finance.</w:t>
      </w:r>
    </w:p>
    <w:p>
      <w:pPr>
        <w:pStyle w:val="BodyText"/>
      </w:pPr>
      <w:r>
        <w:t>•  Secured distribution / floor-plan financing — monitoring dealer inventory financed by a manufacturer or lender.</w:t>
      </w:r>
    </w:p>
    <w:p>
      <w:pPr>
        <w:pStyle w:val="BodyText"/>
      </w:pPr>
      <w:r>
        <w:t>•  Accounts-receivable monitoring — confirming shipment or delivery to support receivables-based lending.</w:t>
      </w:r>
    </w:p>
    <w:p>
      <w:pPr>
        <w:pStyle w:val="BodyText"/>
      </w:pPr>
      <w:r>
        <w:t>•  Commodity trading / e-marketplace platforms — some CMCs diversify into trade execution alongside custody services.</w:t>
      </w:r>
    </w:p>
    <w:p>
      <w:pPr>
        <w:pStyle w:val="BodyText"/>
      </w:pPr>
      <w:r>
        <w:t>•  Post-harvest loss-reduction programmes — often tied to agricultural WRS initiatives in emerging markets.</w:t>
      </w:r>
    </w:p>
    <w:p>
      <w:pPr>
        <w:pStyle w:val="BodyText"/>
      </w:pPr>
      <w:r>
        <w:t>•  Sensor / IoT monitoring — temperature, humidity and moisture telemetry for sensitive or perishable commodities.</w:t>
      </w:r>
    </w:p>
    <w:p>
      <w:pPr>
        <w:pStyle w:val="Heading3"/>
      </w:pPr>
      <w:r>
        <w:t>8. Financial (Securities) Collateral Management — a distinct category</w:t>
      </w:r>
    </w:p>
    <w:p>
      <w:pPr>
        <w:pStyle w:val="BodyText"/>
      </w:pPr>
      <w:r>
        <w:t>Separate from physical commodity CMCs, banks, custodians and specialist providers offer an analogous set of services for financial collateral — margin-call calculation and management (initial and variation margin); collateral eligibility, haircut and concentration management; collateral optimisation (cheapest-to-deliver allocation); tri-party collateral services via custodians such as Euroclear, Clearstream or BNY; and regulatory margin compliance (UMR, EMIR, SFTR). Morise Collateral Management Ltd's scope is physical / commodity collateral; financial collateral management is noted here for completeness only and is out of scope.</w:t>
      </w:r>
    </w:p>
    <w:p>
      <w:pPr>
        <w:pStyle w:val="Heading3"/>
      </w:pPr>
      <w:r>
        <w:t>Physical vs. financial collateral management —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Physical / commodity CMC</w:t>
            </w:r>
          </w:p>
        </w:tc>
        <w:tc>
          <w:tcPr>
            <w:tcW w:type="dxa" w:w="2880"/>
          </w:tcPr>
          <w:p>
            <w:r>
              <w:t>Financial / securities collateral</w:t>
            </w:r>
          </w:p>
        </w:tc>
      </w:tr>
      <w:tr>
        <w:tc>
          <w:tcPr>
            <w:tcW w:type="dxa" w:w="2880"/>
          </w:tcPr>
          <w:p>
            <w:r>
              <w:t>What is collateralised</w:t>
            </w:r>
          </w:p>
        </w:tc>
        <w:tc>
          <w:tcPr>
            <w:tcW w:type="dxa" w:w="2880"/>
          </w:tcPr>
          <w:p>
            <w:r>
              <w:t>Stored goods: grain, metals, energy products, agri commodities</w:t>
            </w:r>
          </w:p>
        </w:tc>
        <w:tc>
          <w:tcPr>
            <w:tcW w:type="dxa" w:w="2880"/>
          </w:tcPr>
          <w:p>
            <w:r>
              <w:t>Cash, bonds, equities, other financial instruments</w:t>
            </w:r>
          </w:p>
        </w:tc>
      </w:tr>
      <w:tr>
        <w:tc>
          <w:tcPr>
            <w:tcW w:type="dxa" w:w="2880"/>
          </w:tcPr>
          <w:p>
            <w:r>
              <w:t>Primary control mechanism</w:t>
            </w:r>
          </w:p>
        </w:tc>
        <w:tc>
          <w:tcPr>
            <w:tcW w:type="dxa" w:w="2880"/>
          </w:tcPr>
          <w:p>
            <w:r>
              <w:t>Physical custody, warehouse receipts, site inspection</w:t>
            </w:r>
          </w:p>
        </w:tc>
        <w:tc>
          <w:tcPr>
            <w:tcW w:type="dxa" w:w="2880"/>
          </w:tcPr>
          <w:p>
            <w:r>
              <w:t>Custodian / tri-party accounts, legal agreements (CSA / GMRA)</w:t>
            </w:r>
          </w:p>
        </w:tc>
      </w:tr>
      <w:tr>
        <w:tc>
          <w:tcPr>
            <w:tcW w:type="dxa" w:w="2880"/>
          </w:tcPr>
          <w:p>
            <w:r>
              <w:t>Typical client</w:t>
            </w:r>
          </w:p>
        </w:tc>
        <w:tc>
          <w:tcPr>
            <w:tcW w:type="dxa" w:w="2880"/>
          </w:tcPr>
          <w:p>
            <w:r>
              <w:t>Banks financing traders, processors, cooperatives</w:t>
            </w:r>
          </w:p>
        </w:tc>
        <w:tc>
          <w:tcPr>
            <w:tcW w:type="dxa" w:w="2880"/>
          </w:tcPr>
          <w:p>
            <w:r>
              <w:t>Banks, broker-dealers, asset managers, clearing members</w:t>
            </w:r>
          </w:p>
        </w:tc>
      </w:tr>
      <w:tr>
        <w:tc>
          <w:tcPr>
            <w:tcW w:type="dxa" w:w="2880"/>
          </w:tcPr>
          <w:p>
            <w:r>
              <w:t>Core risk monitored</w:t>
            </w:r>
          </w:p>
        </w:tc>
        <w:tc>
          <w:tcPr>
            <w:tcW w:type="dxa" w:w="2880"/>
          </w:tcPr>
          <w:p>
            <w:r>
              <w:t>Quantity, quality and location of goods</w:t>
            </w:r>
          </w:p>
        </w:tc>
        <w:tc>
          <w:tcPr>
            <w:tcW w:type="dxa" w:w="2880"/>
          </w:tcPr>
          <w:p>
            <w:r>
              <w:t>Market value and exposure of financial positions</w:t>
            </w:r>
          </w:p>
        </w:tc>
      </w:tr>
      <w:tr>
        <w:tc>
          <w:tcPr>
            <w:tcW w:type="dxa" w:w="2880"/>
          </w:tcPr>
          <w:p>
            <w:r>
              <w:t>Regulatory anchors</w:t>
            </w:r>
          </w:p>
        </w:tc>
        <w:tc>
          <w:tcPr>
            <w:tcW w:type="dxa" w:w="2880"/>
          </w:tcPr>
          <w:p>
            <w:r>
              <w:t>UCC Article 7, national warehouse-receipt systems</w:t>
            </w:r>
          </w:p>
        </w:tc>
        <w:tc>
          <w:tcPr>
            <w:tcW w:type="dxa" w:w="2880"/>
          </w:tcPr>
          <w:p>
            <w:r>
              <w:t>UMR, EMIR, SFTR, Basel margin frameworks</w:t>
            </w:r>
          </w:p>
        </w:tc>
      </w:tr>
    </w:tbl>
    <w:p>
      <w:pPr>
        <w:pStyle w:val="Heading3"/>
      </w:pPr>
      <w:r>
        <w:t>Services as seeded in the MBMS storefront</w:t>
      </w:r>
    </w:p>
    <w:p>
      <w:pPr>
        <w:pStyle w:val="BodyText"/>
      </w:pPr>
      <w:r>
        <w:t>Ten priced services are seeded onto the subsidiary's six sites in seed.ts — the same group-storefront mechanism the other subsidiaries use (their own chart of accounts, an open FY2026-Q1 period, per-service category, branch attribution, UGX pricing). A customer of any Morise company can order them from the one storefront; each order is invoiced and GL-posted in Morise Collateral Management Ltd's own books. The underlying Multi-Site Collateral Management System (Sections 2–11) remains a future-phase backlog; only the priced catalogue is 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Unit price (UGX)</w:t>
            </w:r>
          </w:p>
        </w:tc>
      </w:tr>
      <w:tr>
        <w:tc>
          <w:tcPr>
            <w:tcW w:type="dxa" w:w="1728"/>
          </w:tcPr>
          <w:p>
            <w:r>
              <w:t>CMC-5001</w:t>
            </w:r>
          </w:p>
        </w:tc>
        <w:tc>
          <w:tcPr>
            <w:tcW w:type="dxa" w:w="1728"/>
          </w:tcPr>
          <w:p>
            <w:r>
              <w:t>Custody &amp; Control</w:t>
            </w:r>
          </w:p>
        </w:tc>
        <w:tc>
          <w:tcPr>
            <w:tcW w:type="dxa" w:w="1728"/>
          </w:tcPr>
          <w:p>
            <w:r>
              <w:t>Collateral Management Agreement (CMA) — setup &amp; onboarding (per agreement)</w:t>
            </w:r>
          </w:p>
        </w:tc>
        <w:tc>
          <w:tcPr>
            <w:tcW w:type="dxa" w:w="1728"/>
          </w:tcPr>
          <w:p>
            <w:r>
              <w:t>Kampala Head Office</w:t>
            </w:r>
          </w:p>
        </w:tc>
        <w:tc>
          <w:tcPr>
            <w:tcW w:type="dxa" w:w="1728"/>
          </w:tcPr>
          <w:p>
            <w:r>
              <w:t>2,500,000</w:t>
            </w:r>
          </w:p>
        </w:tc>
      </w:tr>
      <w:tr>
        <w:tc>
          <w:tcPr>
            <w:tcW w:type="dxa" w:w="1728"/>
          </w:tcPr>
          <w:p>
            <w:r>
              <w:t>CMC-5002</w:t>
            </w:r>
          </w:p>
        </w:tc>
        <w:tc>
          <w:tcPr>
            <w:tcW w:type="dxa" w:w="1728"/>
          </w:tcPr>
          <w:p>
            <w:r>
              <w:t>Custody &amp; Control</w:t>
            </w:r>
          </w:p>
        </w:tc>
        <w:tc>
          <w:tcPr>
            <w:tcW w:type="dxa" w:w="1728"/>
          </w:tcPr>
          <w:p>
            <w:r>
              <w:t>Field Warehousing Control — borrower-site custody (per site-month)</w:t>
            </w:r>
          </w:p>
        </w:tc>
        <w:tc>
          <w:tcPr>
            <w:tcW w:type="dxa" w:w="1728"/>
          </w:tcPr>
          <w:p>
            <w:r>
              <w:t>Jinja Grain Silos</w:t>
            </w:r>
          </w:p>
        </w:tc>
        <w:tc>
          <w:tcPr>
            <w:tcW w:type="dxa" w:w="1728"/>
          </w:tcPr>
          <w:p>
            <w:r>
              <w:t>4,200,000</w:t>
            </w:r>
          </w:p>
        </w:tc>
      </w:tr>
      <w:tr>
        <w:tc>
          <w:tcPr>
            <w:tcW w:type="dxa" w:w="1728"/>
          </w:tcPr>
          <w:p>
            <w:r>
              <w:t>CMC-5003</w:t>
            </w:r>
          </w:p>
        </w:tc>
        <w:tc>
          <w:tcPr>
            <w:tcW w:type="dxa" w:w="1728"/>
          </w:tcPr>
          <w:p>
            <w:r>
              <w:t>Inspection &amp; Verification</w:t>
            </w:r>
          </w:p>
        </w:tc>
        <w:tc>
          <w:tcPr>
            <w:tcW w:type="dxa" w:w="1728"/>
          </w:tcPr>
          <w:p>
            <w:r>
              <w:t>Stock Inspection Visit — quantity, quality &amp; sampling (per visit)</w:t>
            </w:r>
          </w:p>
        </w:tc>
        <w:tc>
          <w:tcPr>
            <w:tcW w:type="dxa" w:w="1728"/>
          </w:tcPr>
          <w:p>
            <w:r>
              <w:t>Masindi Grain Store</w:t>
            </w:r>
          </w:p>
        </w:tc>
        <w:tc>
          <w:tcPr>
            <w:tcW w:type="dxa" w:w="1728"/>
          </w:tcPr>
          <w:p>
            <w:r>
              <w:t>320,000</w:t>
            </w:r>
          </w:p>
        </w:tc>
      </w:tr>
      <w:tr>
        <w:tc>
          <w:tcPr>
            <w:tcW w:type="dxa" w:w="1728"/>
          </w:tcPr>
          <w:p>
            <w:r>
              <w:t>CMC-5004</w:t>
            </w:r>
          </w:p>
        </w:tc>
        <w:tc>
          <w:tcPr>
            <w:tcW w:type="dxa" w:w="1728"/>
          </w:tcPr>
          <w:p>
            <w:r>
              <w:t>Inspection &amp; Verification</w:t>
            </w:r>
          </w:p>
        </w:tc>
        <w:tc>
          <w:tcPr>
            <w:tcW w:type="dxa" w:w="1728"/>
          </w:tcPr>
          <w:p>
            <w:r>
              <w:t>Weighbridge &amp; Tank / Silo Gauging (per measurement)</w:t>
            </w:r>
          </w:p>
        </w:tc>
        <w:tc>
          <w:tcPr>
            <w:tcW w:type="dxa" w:w="1728"/>
          </w:tcPr>
          <w:p>
            <w:r>
              <w:t>Buikwe Tank Farm</w:t>
            </w:r>
          </w:p>
        </w:tc>
        <w:tc>
          <w:tcPr>
            <w:tcW w:type="dxa" w:w="1728"/>
          </w:tcPr>
          <w:p>
            <w:r>
              <w:t>180,000</w:t>
            </w:r>
          </w:p>
        </w:tc>
      </w:tr>
      <w:tr>
        <w:tc>
          <w:tcPr>
            <w:tcW w:type="dxa" w:w="1728"/>
          </w:tcPr>
          <w:p>
            <w:r>
              <w:t>CMC-5005</w:t>
            </w:r>
          </w:p>
        </w:tc>
        <w:tc>
          <w:tcPr>
            <w:tcW w:type="dxa" w:w="1728"/>
          </w:tcPr>
          <w:p>
            <w:r>
              <w:t>Stock &amp; Movement Control</w:t>
            </w:r>
          </w:p>
        </w:tc>
        <w:tc>
          <w:tcPr>
            <w:tcW w:type="dxa" w:w="1728"/>
          </w:tcPr>
          <w:p>
            <w:r>
              <w:t>Stock Reconciliation &amp; Variance Report (per cycle)</w:t>
            </w:r>
          </w:p>
        </w:tc>
        <w:tc>
          <w:tcPr>
            <w:tcW w:type="dxa" w:w="1728"/>
          </w:tcPr>
          <w:p>
            <w:r>
              <w:t>Kampala Head Office</w:t>
            </w:r>
          </w:p>
        </w:tc>
        <w:tc>
          <w:tcPr>
            <w:tcW w:type="dxa" w:w="1728"/>
          </w:tcPr>
          <w:p>
            <w:r>
              <w:t>450,000</w:t>
            </w:r>
          </w:p>
        </w:tc>
      </w:tr>
      <w:tr>
        <w:tc>
          <w:tcPr>
            <w:tcW w:type="dxa" w:w="1728"/>
          </w:tcPr>
          <w:p>
            <w:r>
              <w:t>CMC-5006</w:t>
            </w:r>
          </w:p>
        </w:tc>
        <w:tc>
          <w:tcPr>
            <w:tcW w:type="dxa" w:w="1728"/>
          </w:tcPr>
          <w:p>
            <w:r>
              <w:t>Stock &amp; Movement Control</w:t>
            </w:r>
          </w:p>
        </w:tc>
        <w:tc>
          <w:tcPr>
            <w:tcW w:type="dxa" w:w="1728"/>
          </w:tcPr>
          <w:p>
            <w:r>
              <w:t>Dual-Control Release Authorization (per release)</w:t>
            </w:r>
          </w:p>
        </w:tc>
        <w:tc>
          <w:tcPr>
            <w:tcW w:type="dxa" w:w="1728"/>
          </w:tcPr>
          <w:p>
            <w:r>
              <w:t>Kampala Head Office</w:t>
            </w:r>
          </w:p>
        </w:tc>
        <w:tc>
          <w:tcPr>
            <w:tcW w:type="dxa" w:w="1728"/>
          </w:tcPr>
          <w:p>
            <w:r>
              <w:t>95,000</w:t>
            </w:r>
          </w:p>
        </w:tc>
      </w:tr>
      <w:tr>
        <w:tc>
          <w:tcPr>
            <w:tcW w:type="dxa" w:w="1728"/>
          </w:tcPr>
          <w:p>
            <w:r>
              <w:t>CMC-5007</w:t>
            </w:r>
          </w:p>
        </w:tc>
        <w:tc>
          <w:tcPr>
            <w:tcW w:type="dxa" w:w="1728"/>
          </w:tcPr>
          <w:p>
            <w:r>
              <w:t>Risk &amp; Valuation</w:t>
            </w:r>
          </w:p>
        </w:tc>
        <w:tc>
          <w:tcPr>
            <w:tcW w:type="dxa" w:w="1728"/>
          </w:tcPr>
          <w:p>
            <w:r>
              <w:t>Collateral Valuation &amp; Coverage-Ratio Monitoring (per facility-month)</w:t>
            </w:r>
          </w:p>
        </w:tc>
        <w:tc>
          <w:tcPr>
            <w:tcW w:type="dxa" w:w="1728"/>
          </w:tcPr>
          <w:p>
            <w:r>
              <w:t>Kampala Head Office</w:t>
            </w:r>
          </w:p>
        </w:tc>
        <w:tc>
          <w:tcPr>
            <w:tcW w:type="dxa" w:w="1728"/>
          </w:tcPr>
          <w:p>
            <w:r>
              <w:t>1,100,000</w:t>
            </w:r>
          </w:p>
        </w:tc>
      </w:tr>
      <w:tr>
        <w:tc>
          <w:tcPr>
            <w:tcW w:type="dxa" w:w="1728"/>
          </w:tcPr>
          <w:p>
            <w:r>
              <w:t>CMC-5008</w:t>
            </w:r>
          </w:p>
        </w:tc>
        <w:tc>
          <w:tcPr>
            <w:tcW w:type="dxa" w:w="1728"/>
          </w:tcPr>
          <w:p>
            <w:r>
              <w:t>Reporting &amp; Compliance</w:t>
            </w:r>
          </w:p>
        </w:tc>
        <w:tc>
          <w:tcPr>
            <w:tcW w:type="dxa" w:w="1728"/>
          </w:tcPr>
          <w:p>
            <w:r>
              <w:t>Daily Stock-Position Reporting &amp; Lender Portal Access (per facility-month)</w:t>
            </w:r>
          </w:p>
        </w:tc>
        <w:tc>
          <w:tcPr>
            <w:tcW w:type="dxa" w:w="1728"/>
          </w:tcPr>
          <w:p>
            <w:r>
              <w:t>Kampala Head Office</w:t>
            </w:r>
          </w:p>
        </w:tc>
        <w:tc>
          <w:tcPr>
            <w:tcW w:type="dxa" w:w="1728"/>
          </w:tcPr>
          <w:p>
            <w:r>
              <w:t>650,000</w:t>
            </w:r>
          </w:p>
        </w:tc>
      </w:tr>
      <w:tr>
        <w:tc>
          <w:tcPr>
            <w:tcW w:type="dxa" w:w="1728"/>
          </w:tcPr>
          <w:p>
            <w:r>
              <w:t>CMC-5009</w:t>
            </w:r>
          </w:p>
        </w:tc>
        <w:tc>
          <w:tcPr>
            <w:tcW w:type="dxa" w:w="1728"/>
          </w:tcPr>
          <w:p>
            <w:r>
              <w:t>Reporting &amp; Compliance</w:t>
            </w:r>
          </w:p>
        </w:tc>
        <w:tc>
          <w:tcPr>
            <w:tcW w:type="dxa" w:w="1728"/>
          </w:tcPr>
          <w:p>
            <w:r>
              <w:t>Warehouse Receipt Issuance — negotiable / non-negotiable (per receipt)</w:t>
            </w:r>
          </w:p>
        </w:tc>
        <w:tc>
          <w:tcPr>
            <w:tcW w:type="dxa" w:w="1728"/>
          </w:tcPr>
          <w:p>
            <w:r>
              <w:t>Mbale Warehouse</w:t>
            </w:r>
          </w:p>
        </w:tc>
        <w:tc>
          <w:tcPr>
            <w:tcW w:type="dxa" w:w="1728"/>
          </w:tcPr>
          <w:p>
            <w:r>
              <w:t>75,000</w:t>
            </w:r>
          </w:p>
        </w:tc>
      </w:tr>
      <w:tr>
        <w:tc>
          <w:tcPr>
            <w:tcW w:type="dxa" w:w="1728"/>
          </w:tcPr>
          <w:p>
            <w:r>
              <w:t>CMC-5010</w:t>
            </w:r>
          </w:p>
        </w:tc>
        <w:tc>
          <w:tcPr>
            <w:tcW w:type="dxa" w:w="1728"/>
          </w:tcPr>
          <w:p>
            <w:r>
              <w:t>Reporting &amp; Compliance</w:t>
            </w:r>
          </w:p>
        </w:tc>
        <w:tc>
          <w:tcPr>
            <w:tcW w:type="dxa" w:w="1728"/>
          </w:tcPr>
          <w:p>
            <w:r>
              <w:t>Facility / Site Accreditation Assessment (per site)</w:t>
            </w:r>
          </w:p>
        </w:tc>
        <w:tc>
          <w:tcPr>
            <w:tcW w:type="dxa" w:w="1728"/>
          </w:tcPr>
          <w:p>
            <w:r>
              <w:t>Kasese Cold Store</w:t>
            </w:r>
          </w:p>
        </w:tc>
        <w:tc>
          <w:tcPr>
            <w:tcW w:type="dxa" w:w="1728"/>
          </w:tcPr>
          <w:p>
            <w:r>
              <w:t>1,800,000</w:t>
            </w:r>
          </w:p>
        </w:tc>
      </w:tr>
    </w:tbl>
    <w:p>
      <w:pPr>
        <w:pStyle w:val="Heading2"/>
      </w:pPr>
      <w:r>
        <w:t>Addendum (30 August 2026) — Managing Director Full Authority</w:t>
      </w:r>
    </w:p>
    <w:p>
      <w:pPr>
        <w:pStyle w:val="BodyText"/>
      </w:pPr>
      <w:r>
        <w:t>The MBMS platform's Managing Director role now holds the full permission catalogue (operate on every section of the four Admin categories — create, edit, approve, execute), and sixteen admin screens' in-page controls were made permission-aware. Where this system reuses the platform's identity and RBAC, the same applies. No new permission, endpoint or schema.</w:t>
      </w:r>
    </w:p>
    <w:p>
      <w:pPr>
        <w:pStyle w:val="Heading2"/>
      </w:pPr>
      <w:r>
        <w:t>Addendum (31 August 2026) — Morise Brand Mark</w:t>
      </w:r>
    </w:p>
    <w:p>
      <w:pPr>
        <w:pStyle w:val="BodyText"/>
      </w:pPr>
      <w:r>
        <w:t>The MBMS platform now ships a defined Morise brand mark — a monoline “M” with an amber apex diamond (navy #1E3A5F / amber #D97706) — as SVG assets and a brand sheet under brand/ and a shared Logo React component used across the Admin and Storefront apps in place of the former placeholder letter. This system inherits the same identity. Front-end assets only; no new permission, endpoint or schema.</w:t>
      </w:r>
    </w:p>
    <w:p>
      <w:pPr>
        <w:pStyle w:val="Heading2"/>
      </w:pPr>
      <w:r>
        <w:t>Addendum (31 August 2026) — Morise Banner Family</w:t>
      </w:r>
    </w:p>
    <w:p>
      <w:pPr>
        <w:pStyle w:val="BodyText"/>
      </w:pPr>
      <w:r>
        <w:t>The MBMS platform now ships a full Morise banner family — group hero, interior header, social card, email header, storefront promo strip, announcement ribbon, sign-in panel and one banner per subsidiary (including this one) — as standalone SVG assets under brand/banners/ on the logo’s visual language, wired into the storefront / corporate heroes and social-share meta tags. Front-end assets + minor CSS + curated text-only promo banners in seed data; no new permission, endpoint or schema.</w:t>
      </w:r>
    </w:p>
    <w:p>
      <w:pPr>
        <w:pStyle w:val="Heading2"/>
      </w:pPr>
      <w:r>
        <w:t>Addendum (31 August 2026) — Banners Displayed on the Storefront</w:t>
      </w:r>
    </w:p>
    <w:p>
      <w:pPr>
        <w:pStyle w:val="BodyText"/>
      </w:pPr>
      <w:r>
        <w:t>The Morise banner family is now displayed across the customer storefront — the landing-page Companies grid, the Companies directory, each portfolio-company page, the subsidiary directory and the shop — each subsidiary showing its own brand/banners/subsidiary-*.svg (this one included). Storefront front-end only (a bannerFor() helper + &lt;img&gt; banners + CSS); no new permission, endpoint or schema.</w:t>
      </w:r>
    </w:p>
    <w:p>
      <w:pPr>
        <w:pStyle w:val="Heading2"/>
      </w:pPr>
      <w:r>
        <w:t>Addendum (31 August 2026) — Delivery Management System (Doc 22)</w:t>
      </w:r>
    </w:p>
    <w:p>
      <w:pPr>
        <w:pStyle w:val="BodyText"/>
      </w:pPr>
      <w:r>
        <w:t>A fourth subsidiary-system specification has been added — docx/22_Delivery Management System — Feature Specification (owning entity Morise Logistics Ltd): last-mile and scheduled delivery of goods, services and invoices to customers who ordered through the group Customer Storefront. A Phase 1 back end is implemented in MBMS (migration 20260831120000_delivery; src/delivery/ module; staff /api/v1/delivery API + customer order-tracking read; scoped and audited) but is switched off pending the delivery.* permissions being seeded, seed data and a UI. Restates the client's Delivery-Software-Feature-Specification.docx in the house format; the wider platform is future scope.</w:t>
      </w:r>
    </w:p>
    <w:p>
      <w:pPr>
        <w:pStyle w:val="Heading2"/>
      </w:pPr>
      <w:r>
        <w:t>Addendum (31 August 2026) — Stamped Invoice on Acknowledged Delivery (Doc 22)</w:t>
      </w:r>
    </w:p>
    <w:p>
      <w:pPr>
        <w:pStyle w:val="BodyText"/>
      </w:pPr>
      <w:r>
        <w:t>Doc 22 gains an addendum: once a Morise Logistics Ltd delivery is completed and the customer acknowledges receipt in good condition (a new storefront confirmation step), MBMS automatically issues a Morise-stamped invoice for the order — the existing per-order invoice moved to an issued / stamped state with a branded PDF bearing the Morise brand mark as a seal plus the delivery and acknowledgement details. A damaged, incomplete or not-received acknowledgement issues no stamp and opens a delivery exception. Specification only — it depends on the Delivery Management System back end (doc 22 Section 8.5), which is switched off; no code, schema, endpoint or permission change.</w:t>
      </w:r>
    </w:p>
    <w:p>
      <w:pPr>
        <w:pStyle w:val="Heading2"/>
      </w:pPr>
      <w:r>
        <w:t>Addendum (31 August 2026) — Assigning a Delivery Persona to an Order (Doc 22)</w:t>
      </w:r>
    </w:p>
    <w:p>
      <w:pPr>
        <w:pStyle w:val="BodyText"/>
      </w:pPr>
      <w:r>
        <w:t>Doc 22 gains an addendum recording the admin assignment workflow: a dispatcher (delivery.manage) reviews orders that can be handed to Morise Logistics Ltd (GET /api/v1/delivery/eligible-orders), creates a delivery for one, and assigns a delivery persona from Morise Logistics Ltd's driver pool — on create or via POST /api/v1/delivery/:id/assign — with an inactive or wrong-company persona and a terminal delivery rejected, and the assignment audited. These endpoints and the delivery_drivers model are already in the Phase 1 back end (doc 22 Section 8.5) but switched off: the delivery.* permissions are not seeded and there is no dispatch screen. No code, schema, endpoint or permission change.</w:t>
      </w:r>
    </w:p>
    <w:p>
      <w:pPr>
        <w:pStyle w:val="Heading2"/>
      </w:pPr>
      <w:r>
        <w:t>Addendum (31 August 2026) — Delivery Module Activated (Doc 22)</w:t>
      </w:r>
    </w:p>
    <w:p>
      <w:pPr>
        <w:pStyle w:val="BodyText"/>
      </w:pPr>
      <w:r>
        <w:t>The delivery.manage / delivery.viewAll permission codes are now in the seed permission catalogue and granted (delivery.manage + delivery.viewAll to Super Administrator, Managing Director, IT Administrator and Operations Manager; delivery.manage (own company scope) to Branch Manager; delivery.viewAll to Group CEO, Auditor, External Auditor, Board Member and Read-only User), so the /api/v1/delivery dispatch API — including assigning a Morise Logistics Ltd delivery persona to a customer's order — is reachable and was verified end to end. This supersedes the “switched off” note in the earlier delivery, stamped-invoice and persona-assignment addenda. Seed data + grants only; no schema, endpoint or migration change. Still pending: seeded delivery personas, an Admin dispatch screen, and an openapi.json regeneration.</w:t>
      </w:r>
    </w:p>
    <w:p>
      <w:pPr>
        <w:pStyle w:val="Heading2"/>
      </w:pPr>
      <w:r>
        <w:t>Addendum (31 August 2026) — Storefront Wording: Services Catalog / Add to Invoice / Invoice</w:t>
      </w:r>
    </w:p>
    <w:p>
      <w:pPr>
        <w:pStyle w:val="BodyText"/>
      </w:pPr>
      <w:r>
        <w:t>The Customer Storefront's shopping vocabulary was changed on an administrator's request: “Product Catalog” — “Services Catalog”, “Add to Cart” — “Add to Invoice”, “Cart” — “Invoice”, across en.js and the ten translated language tables (header icon 🛒 — 🧾). Front-end strings only — no route, component, API, schema or permission change.</w:t>
      </w:r>
    </w:p>
    <w:p>
      <w:pPr>
        <w:pStyle w:val="Heading2"/>
      </w:pPr>
      <w:r>
        <w:t>Addendum (1 September 2026) — Payroll Management Feature Specification</w:t>
      </w:r>
    </w:p>
    <w:p>
      <w:pPr>
        <w:pStyle w:val="BodyText"/>
      </w:pPr>
      <w:r>
        <w:t>A Payroll Management feature specification has been recorded for the group: a multi-subsidiary payroll system covering salary structures (basic, allowances, overtime, bonuses, commissions), deductions (loans, advances, taxes, statutory, pension), approval, payslip generation, bank payment schedules, payroll history, and department / company / consolidated group payroll reports. The core is already built in MBMS (monthly runs per subsidiary, Uganda PAYE + NSSF, salary advances, approval, GL posting, group-wide visibility); the salary-structure components, loans, voluntary pension, payslip PDF, bank schedules and the reporting suite are backlog. Specification only — no code, schema, endpoint or permission change; each Morise subsidiary's own payroll runs in this same module.</w:t>
      </w:r>
    </w:p>
    <w:p>
      <w:pPr>
        <w:pStyle w:val="Heading2"/>
      </w:pPr>
      <w:r>
        <w:t>Addendum (1 September 2026) — Payroll: Salary Structures, Allowances, Overtime &amp; Bonuses</w:t>
      </w:r>
    </w:p>
    <w:p>
      <w:pPr>
        <w:pStyle w:val="BodyText"/>
      </w:pPr>
      <w:r>
        <w:t>The first slice of the Payroll Management backlog is built: an employee's monthly pay is now built up from a salary structure of components (basic + allowances, plus one-off overtime / bonus lines) instead of a single gross figure; a payroll run derives gross from the applicable components (Employee.grossSalary is the fallback) and each payslip carries the breakdown. New salary_components / payslip_components tables (migration 20260901120000_salary_structures), /api/v1/payroll/salary-components + /salary-structure endpoints under the existing payroll.manage / payroll.viewAll, and a Salary structures tab on the Admin Payroll screen. PAYE / NSSF and GL posting unchanged. Commissions, deductions, loans, a voluntary pension, a payslip PDF, bank schedules and the reporting suite remain backlog. Each Morise subsidiary's payroll uses this same module.</w:t>
      </w:r>
    </w:p>
    <w:p>
      <w:pPr>
        <w:pStyle w:val="Heading2"/>
      </w:pPr>
      <w:r>
        <w:t>Addendum (1 September 2026) — Accounting &amp; Finance Feature Section</w:t>
      </w:r>
    </w:p>
    <w:p>
      <w:pPr>
        <w:pStyle w:val="BodyText"/>
      </w:pPr>
      <w:r>
        <w:t>A “7. Accounting and Finance” section has been recorded for the group: the financial module (General Ledger, Accounts Receivable, Accounts Payable, Financial Statements) as a core component. It is already built in MBMS (Sprint 10 Full Accounting + the 19 August 2026 Financial Module Deepening) — chart of accounts, journals with a draft → posted lifecycle and adjusting / closing types, financial periods, account reconciliation, recurring journals; AR credit / debit notes, payments, aging, statements and reminders; the AP supplier-invoice approval workflow, payments, notes, statements, aging and payment schedules; and the nine financial statements (P&amp;L, Balance Sheet, Cash Flow, Trial Balance, General Ledger, SoCE, budget-vs-actual, ratios, management accounts). The one gap is a dedicated Accounts Receivable sub-ledger reconciliation. Specification / status record only — no code, schema, endpoint or permission change; each Morise subsidiary keeps its own ledger, AR and AP in this same module and the group consolidates.</w:t>
      </w:r>
    </w:p>
    <w:p>
      <w:pPr>
        <w:pStyle w:val="Heading2"/>
      </w:pPr>
      <w:r>
        <w:t>Addendum (1 September 2026) — Cash &amp; Bank Management Feature Section</w:t>
      </w:r>
    </w:p>
    <w:p>
      <w:pPr>
        <w:pStyle w:val="BodyText"/>
      </w:pPr>
      <w:r>
        <w:t>A “Cash and Bank Management” section has been recorded for the group. Bank and cash accounts exist today as General Ledger accounts (accountSubType bank / cash) with their movements posted as manual journal entries; bank and cash reconciliation are built (AccountReconciliation + /accounting/reconciliations), and a group cash position is exposed by the dashboard financials and /finance/overview. Backlog: a purpose-built bank / cash account register, petty cash, one-step deposit / withdrawal / transfer actions, payment and receipt vouchers, cash-flow forecasting, and a dedicated cash-position report. Specification / status record only — no code, schema, endpoint or permission change; each Morise subsidiary's bank and cash accounts sit in its own ledger.</w:t>
      </w:r>
    </w:p>
    <w:p>
      <w:pPr>
        <w:pStyle w:val="Heading2"/>
      </w:pPr>
      <w:r>
        <w:t>Addendum (1 September 2026) — Budget Management Feature Section</w:t>
      </w:r>
    </w:p>
    <w:p>
      <w:pPr>
        <w:pStyle w:val="BodyText"/>
      </w:pPr>
      <w:r>
        <w:t>A “Budget Management” section has been recorded for the group. Budgeting is partly built: the Budget model (one amount per GL account per financial period, set via /accounting/budgets with a full audit trail of changes), the /accounting/reports/budget-vs-actual report (budgeted vs actual vs variance, also inside management-accounts), and Project.budget with a project-level variance. Backlog: an annual / department / group budget dimension, a capex / opex classification, a budget approval workflow and versioned revisions, a dedicated utilization report, budget alerts, and a deeper variance analysis. Specification / status record only — no code, schema, endpoint or permission change; each Morise subsidiary budgets against its own ledger accounts.</w:t>
      </w:r>
    </w:p>
    <w:p>
      <w:pPr>
        <w:pStyle w:val="Heading2"/>
      </w:pPr>
      <w:r>
        <w:t>Addendum (1 September 2026) — Sales Management Feature Section</w:t>
      </w:r>
    </w:p>
    <w:p>
      <w:pPr>
        <w:pStyle w:val="BodyText"/>
      </w:pPr>
      <w:r>
        <w:t>A “Sales Management” section has been recorded for the group. Customer Management (registration, profiles, categories, credit-limit and payment-terms fields, statements, history) and the Sales core (sales orders with a fulfilment status machine, an invoice per order, customer credit notes, admin-managed discounts and promotions, delivery tracking) are built; support tickets are the customer-complaint and feedback channel. Backlog: quotations, printable delivery notes and receipts, a sales-return / RMA model, a multi-contact list and an enforced credit-limit check, sales commissions / targets / a performance dashboard, and the whole CRM (leads, opportunities, follow-ups, an activity log for calls / emails / meetings, a sales pipeline, structured feedback). Specification / status record only — no code, schema, endpoint or permission change; each Morise subsidiary's own customers and sales run in this same module.</w:t>
      </w:r>
    </w:p>
    <w:p>
      <w:pPr>
        <w:pStyle w:val="Heading2"/>
      </w:pPr>
      <w:r>
        <w:t>Addendum (1 September 2026) — Procurement &amp; Purchasing Feature Section</w:t>
      </w:r>
    </w:p>
    <w:p>
      <w:pPr>
        <w:pStyle w:val="BodyText"/>
      </w:pPr>
      <w:r>
        <w:t>A “Procurement and Purchasing” section has been recorded for the group, with the workflow Employee / Department Request → Department Approval → Procurement → Supplier Quotations → Evaluation → Management Approval → Purchase Order → Delivery → Inspection → Invoice → Payment. There is no dedicated Procurement module; the built pieces are the supplier master (Supplier, /suppliers) and the Accounts Payable tail — a SupplierInvoice with a draft → approved → paid approval workflow (GL posted on approve), supplier payments, supplier credit notes, AP aging, statement and payment schedule. Backlog: purchase requisitions, purchase orders, RFQs, supplier quotations and comparison, an evaluation / award step, a PO approval chain, goods received notes and inspection, a distinct purchase-return flow, and procurement budgets / reports. Specification / status record only — no code, schema, endpoint or permission change; each Morise subsidiary's procurement runs through this same supplier / AP module.</w:t>
      </w:r>
    </w:p>
    <w:p>
      <w:pPr>
        <w:pStyle w:val="Heading2"/>
      </w:pPr>
      <w:r>
        <w:t>Addendum (1 September 2026) — Supplier Management Feature Section</w:t>
      </w:r>
    </w:p>
    <w:p>
      <w:pPr>
        <w:pStyle w:val="BodyText"/>
      </w:pPr>
      <w:r>
        <w:t>A “Supplier Management” section has been recorded for the group. The supplier master is built: the Supplier record (name, category, contact, address, tax id, contract reference + expiry, bank name + account, status), registration / edit / category filtering, blacklist / un-blacklist, bank-detail masking under supplier.view.sensitive, and supplier payment history / statements via GET /api/v1/ap/statement. Backlog: a multi-contact list, supplier contracts and documents as uploaded versioned files (the deferred object-storage gap), a time-bound suspension distinct from blacklist, and supplier evaluation / performance scoring. Specification / status record only — no code, schema, endpoint or permission change; each Morise subsidiary keeps its own supplier master in this same module.</w:t>
      </w:r>
    </w:p>
    <w:p>
      <w:pPr>
        <w:pStyle w:val="Heading2"/>
      </w:pPr>
      <w:r>
        <w:t>Addendum (1 September 2026) — Supplier Management: Contacts, Suspension &amp; Evaluation</w:t>
      </w:r>
    </w:p>
    <w:p>
      <w:pPr>
        <w:pStyle w:val="BodyText"/>
      </w:pPr>
      <w:r>
        <w:t>The Supplier Management backlog recorded in the previous addendum is now built. Migration 20260901130000_supplier_management adds a multi-contact list per supplier (supplier_contacts, one primary enforced by the service), a periodic evaluation scorecard (supplier_evaluations - five 1-5 criteria with an averaged overall, comments and evaluator), a suspended status with a reason and an optional auto-lift date on the supplier record, and a derived GET /suppliers/:id/performance summary (rating band, trend, criterion averages and the supplier's AP position, computed with no backing table). New endpoints - contacts CRUD, suspend / unsuspend, evaluations CRUD - sit under the existing supplier.manage / supplier.viewAll permissions; suspend refuses a blacklisted supplier and a past-dated suspension lifts itself on read. The admin Suppliers screen gains a supplier detail dialog with Contacts, Evaluations and Performance tabs. Each Morise subsidiary keeps its own supplier master in this same module. Still backlog: supplier contracts and documents as uploaded versioned files — the deferred object-storage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