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Deployment — nothing to deploy: reconciliation and the cash-position figures are in the running build. Delivering the spec later adds migrations (register / petty cash / movements / vouchers) plus endpoints.</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Deployment — nothing to deploy: the Budget model, budget-vs-actual and project budgets are in the running build. Delivering the spec later adds migrations (dimensions / status / revisions) plus endpoints.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Deployment — nothing to deploy: the customer and order-to-cash core is in the running build. Delivering the spec later adds migrations (quotations, returns, contacts, commissions, targets, CRM) plus endpoints.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Deployment — nothing to deploy: the supplier master and AP are in the running build. Delivering the spec later adds migrations (requisitions, RFQs, quotations, POs, GRNs, returns) plus endpoints.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Deployment — nothing to deploy: the supplier master and AP statement are in the running build. Delivering the spec later adds migrations (contacts, documents, contracts, suspension, evaluations) plus endpoints and object storage.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Deployment — run migration 20260901130000_supplier_management (adds two tables, one enum value, two columns) and redeploy the backend and admin bundle. Data-safe; no backfill. Object storage still not required (documents remain backlog).</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Deployment — run migration 20260901140000_inventory_management (five tables, one enum, one new enum type, four Product columns, three StockMovement columns) then re-run the seed so each company gets its MAIN warehouse and per-warehouse balances; redeploy the backend and admin bundle. Data-safe; the roll-up column is untouched.</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Deployment — run migration 20260901150000_warehouse_management (four document + line tables, one location column, five new enum types) then re-run the seed so the Warehouse Manager persona, staff and demo documents exist; redeploy the backend and admin bundle. The Warehouse Manager role grant (product.manage) is applied by the seed’s role sync.</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Deployment — run migration 20260902120000_asset_management (four tables, four asset columns, three new enum types) then re-run the seed so the categories, asset links and backfilled history exist; redeploy the backend and admin bundle. Data-safe; the legacy inline insurance fields are left intact.</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Deployment — run migration 20260902130000_fleet_management (nine tables, eight new enum types) then re-run the seed so the fleet.manage / fleet.viewAll grants and the demo vehicles exist; redeploy the backend and admin bundle. The permission grants are applied by the seed's role sync.</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