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p>
      <w:pPr>
        <w:pStyle w:val="Heading2"/>
      </w:pPr>
      <w:r>
        <w:t>Addendum (2 September 2026) — Fleet &amp; Vehicle Management Module</w:t>
      </w:r>
    </w:p>
    <w:p>
      <w:pPr>
        <w:pStyle w:val="BodyText"/>
      </w:pPr>
      <w:r>
        <w:t>A new Fleet &amp; Vehicle Management module has been added and built for the group — a fleet register on top of (and optionally linked 1:1 to) the Asset module. Migration 20260902130000_fleet_management adds vehicles (registration, ownership, fuel type, odometer, status) plus driver assignments, odometer / mileage history, fuel logs, service schedules &amp; records (service / repair), statutory renewals (road licence, inspection certificate, PSV permit …), accident records and a rolled-up vehicle-expense log (auto-fed from fuel, service and renewals). A new fleet.manage / fleet.viewAll permission is granted like delivery.*. Endpoints under /api/v1/fleet cover vehicle CRUD, a per-vehicle summary, driver assignment, fuel / odometer logs, service, renewals, accidents, expenses, and five reports at GET /fleet/reports/* including fuel consumption (L/100km, cost/km). Vehicle inspection and insurance are covered by the linked asset; “tracking” is the odometer history plus a manual location (no live GPS). The admin app gains a Fleet screen. Each Morise subsidiary keeps its own fleet in this module. Backlog: GPS telematics ingestion, fuel-card import, a driver-licence register, tyre management, GL posting for fuel / service spend.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