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Feasibility - no feasibility impact: the subsidiary's organisation is seeded the same way as every subsidiary before it, reusing the existing subsidiary-lifecycle capability. The RC-MIS system itself is a specification, not a feasibility commitment.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Feasibility - no feasibility impact: reuses the existing Product/ProductCategory model and the ensureService() seed helper already exercised for four other subsidiaries' services catalogues.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Feasibility - no feasibility impact: containerizing an already-working application is an operational change, not a new capability requiring new feasibility analysis.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Feasibility — no feasibility impact: trimming an existing translated list to a named subset needs no new technical capability.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