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Requirements - a new functional area: a unified social media composer, per-platform account connections, a one-click fan-out publisher with per-platform status, media handling, scheduling, a status dashboard and a drafts-vs-publish permission split.</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Requirements - satisfies a requirement gap: an administrator can register a company's products against a specific branch/site from the Admin screen, and can edit a product after creation, both previously only possible by editing seed data directly.</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Requirements - adds docx/25 as a new specification document restating the client's research-and-consultancy feature set; no change to MBMS's own functional requirements until a phase of docx/25 is prioritised for build.</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Requirements - no new functional requirement: the existing product-catalogue and Admin Products-screen requirements now cover an eighth catalogue.</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Requirements - no new functional requirement: this is a deployment-mechanics change, not a feature.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Requirements — the FR from Update 29 (language selection) is now scoped: the storefront supports exactly the administrator's 9 named languages, not an open list.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