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Design - no design change: the same Admin Products screen and rate-card presentation used for every other services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Design - no application design change: the same screens, same API contract, delivered through a different runtime packaging.</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Design — no new component or service — a data-only change to LANGUAGE_LIST / LOCALES inside the existing i18n context.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