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Schema - no schema change: Morise Milling Ltd is seeded through the existing Company / Branch / Department / CompanyPolicy tables (company a1...007; branches b1...0040-0045; departments d1...0060-0071; policies p1...0040-0045).</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Schema - invoices gains nullable stamped_at / stamp_number (unique) / stamp_condition; deliveries gains nullable customer_ack_condition / customer_ack_at / customer_ack_note / customer_ack_by / exception_opened_at (migration 20260903180000_invoice_estamp_delivery_ack).</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Schema - no schema change: the awaiting-confirmation list is derived from deliveries (status delivered + customer_ack_at null).</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Schema - orders gains nullable delivered_at, customer_receipt_confirmed_at, customer_receipt_condition, customer_receipt_note (migration 20260903200000_order_customer_receipt, which back-fills delivered_at for existing delivered orders).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Schema - new tables social_connections (platform PK, status, account label, token expiry, placeholder token ref), social_posts (master body, media type / url text ref, link, status, scheduledFor, publishedAt) and social_post_targets (post + platform unique, caption override, status, external id / url, error, attempts). New enums SocialPostStatus / SocialTargetStatus / SocialMediaType. Migration 20260903220000_social_publishing.</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Schema - no schema change: Product.branchId already existed (29 August 2026). This update only changes which write paths may set it and what the read shape returns (companyName, branchName).</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Schema - no schema change: the new subsidiary uses the existing Company / Branch / Department / CompanyPolicy tables, exactly like the six subsidiaries before it.</w:t>
      </w:r>
    </w:p>
    <w:p>
      <w:pPr>
        <w:pStyle w:val="Heading1"/>
      </w:pPr>
      <w:r>
        <w:t>115.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Schema - no schema change: uses the existing Product / ProductCategory tables exactly as every prior subsidiary's catalogue.</w:t>
      </w:r>
    </w:p>
    <w:p>
      <w:pPr>
        <w:pStyle w:val="Heading1"/>
      </w:pPr>
      <w:r>
        <w:t>116.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Schema - no schema change.</w:t>
      </w:r>
    </w:p>
    <w:p>
      <w:pPr>
        <w:pStyle w:val="Heading1"/>
      </w:pPr>
      <w:r>
        <w:t>117.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Schema — no schema change: the language choice stays client-side (localStorage), as before.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