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p>
      <w:pPr>
        <w:pStyle w:val="Heading1"/>
      </w:pPr>
      <w:r>
        <w:t>110.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Development - one seed.ts block (company, 5 branches, 12 departments, 6 policies), one new banner SVG mirrored into two apps, three corporate.js entries, and new docx/25; no backend or frontend code change.</w:t>
      </w:r>
    </w:p>
    <w:p>
      <w:pPr>
        <w:pStyle w:val="Heading1"/>
      </w:pPr>
      <w:r>
        <w:t>111.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Development - one seed.ts block (23 ensureService() calls, 6 ensureCategory() calls); no backend or frontend code change.</w:t>
      </w:r>
    </w:p>
    <w:p>
      <w:pPr>
        <w:pStyle w:val="Heading1"/>
      </w:pPr>
      <w:r>
        <w:t>112.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Development - three new Dockerfiles, two nginx.conf files, three .dockerignore files, and three new service blocks in docker-compose.yml; no application source code changed.</w:t>
      </w:r>
    </w:p>
    <w:p>
      <w:pPr>
        <w:pStyle w:val="Heading1"/>
      </w:pPr>
      <w:r>
        <w:t>113.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Development — LANGUAGE_LIST and LOCALES in mbms/storefront/src/locales/index.js are the only files with a functional change; regional.js's unused nyn/ach exports and eu.js's other language tables are left in place but no longer imported.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