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Business case - the customer confirmation that triggers the Morise e-Stamp is now a first-class call to action (a Home prompt, an Orders-row link and a dedicated page), not a hidden panel. Additive - one read endpoint + two summary fields, no schema, no new permission.</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Business case - the customer confirmation that generates the Morise e-Stamp is now tied to the order's delivered status set by admin staff, and works for any delivered order (not only those dispatched by Morise Logistics). Additive - four nullable order columns, no new endpoint, no new permission.</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Business case - the group can now publish one message to every social media channel from one screen, with per-channel overrides, scheduling and a success / failure dashboard. Additive: one module, three tables, three governance permissions. The live platform integration (OAuth + APIs) is a documented deferral - new doc 24 records the cost / access reality and the aggregator option.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