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Deployment — run migration 20260901140000_inventory_management (five tables, one enum, one new enum type, four Product columns, three StockMovement columns) then re-run the seed so each company gets its MAIN warehouse and per-warehouse balances; redeploy the backend and admin bundle. Data-safe; the roll-up column is untouched.</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Deployment — run migration 20260901150000_warehouse_management (four document + line tables, one location column, five new enum types) then re-run the seed so the Warehouse Manager persona, staff and demo documents exist; redeploy the backend and admin bundle. The Warehouse Manager role grant (product.manage) is applied by the seed’s role sync.</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Deployment — run migration 20260902120000_asset_management (four tables, four asset columns, three new enum types) then re-run the seed so the categories, asset links and backfilled history exist; redeploy the backend and admin bundle. Data-safe; the legacy inline insurance fields are left intact.</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Deployment — run migration 20260902130000_fleet_management (nine tables, eight new enum types) then re-run the seed so the fleet.manage / fleet.viewAll grants and the demo vehicles exist; redeploy the backend and admin bundle. The permission grants are applied by the seed's role sync.</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Deployment — nothing to migrate for the alert feed — redeploy the backend and the admin bundle. The planned modules would each ship a migration; the deferred distributed components (Kafka, Prometheus, Jaeger, Ansible, Certbot, iRedMail) are out of scope for this proof-of-concept deployment.</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Deployment — nothing to migrate — redeploy the backend and the admin bundle. The answer layer is additive and read-only.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Deployment — nothing to migrate; redeploy the backend and the admin bundle. The change is an additive, read-only widening of an existing endpoint.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Deployment — run prisma migrate deploy (one additive nullable column + index), then redeploy the backend and the admin bundle. The mirror is lazy and best-effort; no job runner to schedule.</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Deployment — redeploy the admin bundle (and the backend for the routing tweak). No migration.</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Deployment — one additive migration (20260902150000_social_content); no configuration, infrastructure or environment change.</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Deployment — one additive migration (`20260902160000_social_link_platform_unique`) which de-duplicates `social_links` before adding the UNIQUE index; no configuration or infrastructure change.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Deployment - one additive migration (20260903120000_staff_id_cards) and a reseed (two permissions + role grants + a card per active seeded employee). No config or infrastructure change; applied with prisma migrate deploy + prisma db seed.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Deployment - one additive migration (20260903140000_staff_id_card_back, two nullable columns) and a reseed; no config or infrastructure change.</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Deployment - one migration that drops a column (20260903160000_staff_id_card_drop_blood_group); no config or infrastructure change.</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Deployment - seed-only: a reseed adds Morise Milling Ltd and its organisation (idempotent upserts); no migration, config or infrastructure change. A new brand SVG (subsidiary-milling.svg) is mirrored into both apps' public assets.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Deployment - one additive migration (three invoice + five delivery nullable columns) and a reseed (one demo delivery awaiting confirmation). No config or infrastructure change.</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Deployment - front-end + one read endpoint only; no migration, config or infrastructure change; a reseed keeps the demo delivery un-acknowledged.</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Deployment - one additive migration (four nullable order columns + a delivered_at back-fill) and a reseed. No config or infrastructure change.</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Deployment - one additive migration (three tables + three enums) and a reseed (three permissions + role grants + connected channels + demo posts). No new infrastructure - the real job queue (BullMQ / Redis) and per-platform OAuth apps are the follow-on deployment concern recorded in doc 24.</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