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Alpha - exploratory pass: the back face has no blood group row, both faces are the same rectangle, and the Edit dialog has no Blood group field.</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Alpha - exploratory pass: the milling subsidiary appears in the admin Companies list and the storefront Companies directory; its departments and policies render; doc 23 opens and is complete.</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Alpha - exploratory pass over the acknowledgement panel: it appears only for a completed, unconfirmed delivery; the good path stamps and the problem path opens an exception; the Invoices list shows the e-Stamp badge.</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Alpha - exploratory pass: the Home prompt, the Orders-row 'Confirm receipt -&gt;' link and the dedicated page all reach the same acknowledge action; the page handles the already-confirmed and no-delivery states.</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Alpha - exploratory pass: the button appears for every delivered, unconfirmed order (delivery record or not); the good and problem paths behave; confirmed orders show the outcome banner.</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Alpha - exploratory pass over the four tabs: the composer preview / overrides, the posts list + per-channel outcome + retry, connect / disconnect, the dashboard tiles and Run scheduled; permission gating per role.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