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p>
      <w:pPr>
        <w:pStyle w:val="Heading1"/>
      </w:pPr>
      <w:r>
        <w:t>107.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Development - delivered: the Order receipt columns + migration, delivered_at stamping on status advance / delivery completion, the order-driven acknowledge + awaiting-confirmation, order fields in the resources, and the storefront panels re-pointed at the order. The e-Stamp, its PDF seal and the endpoint path are unchanged.</w:t>
      </w:r>
    </w:p>
    <w:p>
      <w:pPr>
        <w:pStyle w:val="Heading1"/>
      </w:pPr>
      <w:r>
        <w:t>108.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Development - delivered: the social-publishing module (composer CRUD, simulated fan-out engine with partial failure + retry, connections, run-scheduled, dashboard), three permissions + grants, and the admin Social Publishing screen. Deferred (doc 24 section 8.5): real per-platform OAuth apps, a real job queue, server-side media processing, real API calls, webhook status, and the aggregator option.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