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p>
      <w:pPr>
        <w:pStyle w:val="Heading1"/>
      </w:pPr>
      <w:r>
        <w:t>Implementation Status Update 53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Customer Storefront - the Confirm-receipt button that generates the Morise e-Stamp is now driven by the order's delivered status set by admin staff, and works for any delivered order (a Morise Logistics delivery record is optional). Additive - four nullable Order columns (delivered_at + customer_receipt_confirmed_at / _condition / _note), migration 20260903200000_order_customer_receipt; no new endpoint or permission; the e-Stamp behaviour is unchanged from Update 51 in morise.docx.</w:t>
      </w:r>
    </w:p>
    <w:p>
      <w:pPr>
        <w:pStyle w:val="Heading1"/>
      </w:pPr>
      <w:r>
        <w:t>Implementation Status Update 54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Company &amp; Holdings Management / Marketing - the group can now publish one social media message to every channel from one Admin screen (Social Publishing), with per-channel overrides, scheduling, partial-failure retry and a status dashboard - a mini Buffer / Hootsuite. New src/social-publishing module, three tables (social_connections / social_posts / social_post_targets), three governance permissions, migration 20260903220000_social_publishing, new doc 24. The live platform integration (OAuth + APIs, a job queue, media processing) is simulated / deferred - doc 24 has the plan.</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