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User Acceptance Testing (UAT) Plan</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339" w:type="dxa"/>
        <w:jc w:val="left"/>
        <w:tblInd w:w="28" w:type="dxa"/>
        <w:tblLayout w:type="fixed"/>
        <w:tblCellMar>
          <w:top w:w="28" w:type="dxa"/>
          <w:left w:w="28" w:type="dxa"/>
          <w:bottom w:w="28" w:type="dxa"/>
          <w:right w:w="28" w:type="dxa"/>
        </w:tblCellMar>
      </w:tblPr>
      <w:tblGrid>
        <w:gridCol w:w="1990"/>
        <w:gridCol w:w="9349"/>
      </w:tblGrid>
      <w:tr>
        <w:trPr/>
        <w:tc>
          <w:tcPr>
            <w:tcW w:w="1990" w:type="dxa"/>
            <w:tcBorders/>
            <w:vAlign w:val="center"/>
          </w:tcPr>
          <w:p>
            <w:pPr>
              <w:pStyle w:val="TableContents"/>
              <w:bidi w:val="0"/>
              <w:spacing w:before="0" w:after="283"/>
              <w:jc w:val="left"/>
              <w:rPr>
                <w:b/>
              </w:rPr>
            </w:pPr>
            <w:r>
              <w:rPr>
                <w:b/>
              </w:rPr>
              <w:t>Document Type:</w:t>
            </w:r>
          </w:p>
        </w:tc>
        <w:tc>
          <w:tcPr>
            <w:tcW w:w="9349" w:type="dxa"/>
            <w:tcBorders/>
            <w:vAlign w:val="center"/>
          </w:tcPr>
          <w:p>
            <w:pPr>
              <w:pStyle w:val="TableContents"/>
              <w:bidi w:val="0"/>
              <w:spacing w:before="0" w:after="283"/>
              <w:jc w:val="left"/>
              <w:rPr/>
            </w:pPr>
            <w:r>
              <w:rPr/>
              <w:t>UAT Plan</w:t>
            </w:r>
          </w:p>
        </w:tc>
      </w:tr>
      <w:tr>
        <w:trPr/>
        <w:tc>
          <w:tcPr>
            <w:tcW w:w="1990" w:type="dxa"/>
            <w:tcBorders/>
            <w:vAlign w:val="center"/>
          </w:tcPr>
          <w:p>
            <w:pPr>
              <w:pStyle w:val="TableContents"/>
              <w:bidi w:val="0"/>
              <w:spacing w:before="0" w:after="283"/>
              <w:jc w:val="left"/>
              <w:rPr>
                <w:b/>
              </w:rPr>
            </w:pPr>
            <w:r>
              <w:rPr>
                <w:b/>
              </w:rPr>
              <w:t>Purpose:</w:t>
            </w:r>
          </w:p>
        </w:tc>
        <w:tc>
          <w:tcPr>
            <w:tcW w:w="9349" w:type="dxa"/>
            <w:tcBorders/>
            <w:vAlign w:val="center"/>
          </w:tcPr>
          <w:p>
            <w:pPr>
              <w:pStyle w:val="TableContents"/>
              <w:bidi w:val="0"/>
              <w:spacing w:before="0" w:after="283"/>
              <w:jc w:val="left"/>
              <w:rPr/>
            </w:pPr>
            <w:r>
              <w:rPr/>
              <w:t>Defines user acceptance testing</w:t>
            </w:r>
          </w:p>
        </w:tc>
      </w:tr>
      <w:tr>
        <w:trPr/>
        <w:tc>
          <w:tcPr>
            <w:tcW w:w="1990" w:type="dxa"/>
            <w:tcBorders/>
            <w:vAlign w:val="center"/>
          </w:tcPr>
          <w:p>
            <w:pPr>
              <w:pStyle w:val="TableContents"/>
              <w:bidi w:val="0"/>
              <w:spacing w:before="0" w:after="283"/>
              <w:jc w:val="left"/>
              <w:rPr>
                <w:b/>
              </w:rPr>
            </w:pPr>
            <w:r>
              <w:rPr>
                <w:b/>
              </w:rPr>
              <w:t>Version:</w:t>
            </w:r>
          </w:p>
        </w:tc>
        <w:tc>
          <w:tcPr>
            <w:tcW w:w="9349" w:type="dxa"/>
            <w:tcBorders/>
            <w:vAlign w:val="center"/>
          </w:tcPr>
          <w:p>
            <w:pPr>
              <w:pStyle w:val="TableContents"/>
              <w:bidi w:val="0"/>
              <w:spacing w:before="0" w:after="283"/>
              <w:jc w:val="left"/>
              <w:rPr/>
            </w:pPr>
            <w:r>
              <w:rPr/>
              <w:t>1.0 (Draft)</w:t>
            </w:r>
          </w:p>
        </w:tc>
      </w:tr>
      <w:tr>
        <w:trPr/>
        <w:tc>
          <w:tcPr>
            <w:tcW w:w="1990" w:type="dxa"/>
            <w:tcBorders/>
            <w:vAlign w:val="center"/>
          </w:tcPr>
          <w:p>
            <w:pPr>
              <w:pStyle w:val="TableContents"/>
              <w:bidi w:val="0"/>
              <w:spacing w:before="0" w:after="283"/>
              <w:jc w:val="left"/>
              <w:rPr>
                <w:b/>
              </w:rPr>
            </w:pPr>
            <w:r>
              <w:rPr>
                <w:b/>
              </w:rPr>
              <w:t>Date:</w:t>
            </w:r>
          </w:p>
        </w:tc>
        <w:tc>
          <w:tcPr>
            <w:tcW w:w="9349" w:type="dxa"/>
            <w:tcBorders/>
            <w:vAlign w:val="center"/>
          </w:tcPr>
          <w:p>
            <w:pPr>
              <w:pStyle w:val="TableContents"/>
              <w:bidi w:val="0"/>
              <w:spacing w:before="0" w:after="283"/>
              <w:jc w:val="left"/>
              <w:rPr/>
            </w:pPr>
            <w:r>
              <w:rPr/>
              <w:t>18 August 2026</w:t>
            </w:r>
          </w:p>
        </w:tc>
      </w:tr>
      <w:tr>
        <w:trPr/>
        <w:tc>
          <w:tcPr>
            <w:tcW w:w="1990" w:type="dxa"/>
            <w:tcBorders/>
            <w:vAlign w:val="center"/>
          </w:tcPr>
          <w:p>
            <w:pPr>
              <w:pStyle w:val="TableContents"/>
              <w:bidi w:val="0"/>
              <w:spacing w:before="0" w:after="283"/>
              <w:jc w:val="left"/>
              <w:rPr>
                <w:b/>
              </w:rPr>
            </w:pPr>
            <w:r>
              <w:rPr>
                <w:b/>
              </w:rPr>
              <w:t>Prepared by:</w:t>
            </w:r>
          </w:p>
        </w:tc>
        <w:tc>
          <w:tcPr>
            <w:tcW w:w="9349" w:type="dxa"/>
            <w:tcBorders/>
            <w:vAlign w:val="center"/>
          </w:tcPr>
          <w:p>
            <w:pPr>
              <w:pStyle w:val="TableContents"/>
              <w:bidi w:val="0"/>
              <w:spacing w:before="0" w:after="283"/>
              <w:jc w:val="left"/>
              <w:rPr/>
            </w:pPr>
            <w:r>
              <w:rPr/>
              <w:t>Obeke Godfrey, Director</w:t>
            </w:r>
          </w:p>
        </w:tc>
      </w:tr>
      <w:tr>
        <w:trPr/>
        <w:tc>
          <w:tcPr>
            <w:tcW w:w="1990" w:type="dxa"/>
            <w:tcBorders/>
            <w:vAlign w:val="center"/>
          </w:tcPr>
          <w:p>
            <w:pPr>
              <w:pStyle w:val="TableContents"/>
              <w:bidi w:val="0"/>
              <w:spacing w:before="0" w:after="283"/>
              <w:jc w:val="left"/>
              <w:rPr>
                <w:b/>
              </w:rPr>
            </w:pPr>
            <w:r>
              <w:rPr>
                <w:b/>
              </w:rPr>
              <w:t>Prepared for:</w:t>
            </w:r>
          </w:p>
        </w:tc>
        <w:tc>
          <w:tcPr>
            <w:tcW w:w="9349" w:type="dxa"/>
            <w:tcBorders/>
            <w:vAlign w:val="center"/>
          </w:tcPr>
          <w:p>
            <w:pPr>
              <w:pStyle w:val="TableContents"/>
              <w:bidi w:val="0"/>
              <w:spacing w:before="0" w:after="283"/>
              <w:jc w:val="left"/>
              <w:rPr/>
            </w:pPr>
            <w:r>
              <w:rPr/>
              <w:t>Department Process Owners, Morise Holdings Limited</w:t>
            </w:r>
          </w:p>
        </w:tc>
      </w:tr>
      <w:tr>
        <w:trPr/>
        <w:tc>
          <w:tcPr>
            <w:tcW w:w="1990" w:type="dxa"/>
            <w:tcBorders/>
            <w:vAlign w:val="center"/>
          </w:tcPr>
          <w:p>
            <w:pPr>
              <w:pStyle w:val="TableContents"/>
              <w:bidi w:val="0"/>
              <w:spacing w:before="0" w:after="283"/>
              <w:jc w:val="left"/>
              <w:rPr>
                <w:b/>
              </w:rPr>
            </w:pPr>
            <w:r>
              <w:rPr>
                <w:b/>
              </w:rPr>
              <w:t>Related documents:</w:t>
            </w:r>
          </w:p>
        </w:tc>
        <w:tc>
          <w:tcPr>
            <w:tcW w:w="9349" w:type="dxa"/>
            <w:tcBorders/>
            <w:vAlign w:val="center"/>
          </w:tcPr>
          <w:p>
            <w:pPr>
              <w:pStyle w:val="TableContents"/>
              <w:bidi w:val="0"/>
              <w:spacing w:before="0" w:after="283"/>
              <w:jc w:val="left"/>
              <w:rPr/>
            </w:pPr>
            <w:r>
              <w:rPr/>
              <w:t>04_Software Requirements Specification; 05_Business Process Document; 10_Test Plan; 11_Deployment Plan</w:t>
            </w:r>
          </w:p>
        </w:tc>
      </w:tr>
    </w:tbl>
    <w:p>
      <w:pPr>
        <w:pStyle w:val="Heading2"/>
        <w:bidi w:val="0"/>
        <w:jc w:val="left"/>
        <w:rPr/>
      </w:pPr>
      <w:r>
        <w:rPr/>
        <w:t>1. Purpose</w:t>
      </w:r>
    </w:p>
    <w:p>
      <w:pPr>
        <w:pStyle w:val="BodyText"/>
        <w:bidi w:val="0"/>
        <w:jc w:val="left"/>
        <w:rPr/>
      </w:pPr>
      <w:r>
        <w:rPr/>
        <w:t>10_Test Plan, Section 3.8 defines UAT as one of Phase 1's test levels and identifies the process owner and a one-line scenario for each module. This document is the detailed, business-user-facing execution plan for that testing: step-by-step scripts a non-technical participant can follow, the environment and data they will use, how they report what they find, and exactly what "done" means before Phase 1 is allowed to go live (11_Deployment Plan, Section 2).</w:t>
      </w:r>
    </w:p>
    <w:p>
      <w:pPr>
        <w:pStyle w:val="Heading2"/>
        <w:bidi w:val="0"/>
        <w:jc w:val="left"/>
        <w:rPr/>
      </w:pPr>
      <w:r>
        <w:rPr/>
        <w:t>2. UAT Objectives</w:t>
      </w:r>
    </w:p>
    <w:p>
      <w:pPr>
        <w:pStyle w:val="BodyText"/>
        <w:numPr>
          <w:ilvl w:val="0"/>
          <w:numId w:val="1"/>
        </w:numPr>
        <w:tabs>
          <w:tab w:val="clear" w:pos="1134"/>
          <w:tab w:val="left" w:pos="709" w:leader="none"/>
        </w:tabs>
        <w:bidi w:val="0"/>
        <w:spacing w:before="0" w:after="0"/>
        <w:ind w:hanging="283" w:left="709"/>
        <w:jc w:val="left"/>
        <w:rPr/>
      </w:pPr>
      <w:r>
        <w:rPr/>
        <w:t xml:space="preserve">Confirm the system does what the business actually needs, not only what the written requirements say — UAT is run by the people who will use the system, not by the people who built it. </w:t>
      </w:r>
    </w:p>
    <w:p>
      <w:pPr>
        <w:pStyle w:val="BodyText"/>
        <w:numPr>
          <w:ilvl w:val="0"/>
          <w:numId w:val="1"/>
        </w:numPr>
        <w:tabs>
          <w:tab w:val="clear" w:pos="1134"/>
          <w:tab w:val="left" w:pos="709" w:leader="none"/>
        </w:tabs>
        <w:bidi w:val="0"/>
        <w:spacing w:before="0" w:after="0"/>
        <w:ind w:hanging="283" w:left="709"/>
        <w:jc w:val="left"/>
        <w:rPr/>
      </w:pPr>
      <w:r>
        <w:rPr/>
        <w:t xml:space="preserve">Surface usability issues, confusing wording, or missing-but-obvious functionality that automated tests (10_Test Plan) cannot catch. </w:t>
      </w:r>
    </w:p>
    <w:p>
      <w:pPr>
        <w:pStyle w:val="BodyText"/>
        <w:numPr>
          <w:ilvl w:val="0"/>
          <w:numId w:val="1"/>
        </w:numPr>
        <w:tabs>
          <w:tab w:val="clear" w:pos="1134"/>
          <w:tab w:val="left" w:pos="709" w:leader="none"/>
        </w:tabs>
        <w:bidi w:val="0"/>
        <w:ind w:hanging="283" w:left="709"/>
        <w:jc w:val="left"/>
        <w:rPr/>
      </w:pPr>
      <w:r>
        <w:rPr/>
        <w:t xml:space="preserve">Produce a documented, per-module sign-off that the Board can rely on before authorizing the go-live rollout (11_Deployment Plan, Section 8). </w:t>
      </w:r>
    </w:p>
    <w:p>
      <w:pPr>
        <w:pStyle w:val="Heading2"/>
        <w:bidi w:val="0"/>
        <w:jc w:val="left"/>
        <w:rPr/>
      </w:pPr>
      <w:r>
        <w:rPr/>
        <w:t>3. Scope</w:t>
      </w:r>
    </w:p>
    <w:p>
      <w:pPr>
        <w:pStyle w:val="BodyText"/>
        <w:bidi w:val="0"/>
        <w:jc w:val="left"/>
        <w:rPr/>
      </w:pPr>
      <w:r>
        <w:rPr/>
        <w:t>UAT covers the Phase 1 modules only: Company/Branch/Department setup, Employee Records, Customer Records, Supplier Records, Product Records, Basic Accounting, and the Audit Trail/Dashboard. Because no Phase 1 story spans more than one service (06_User Stories, Section 3 note), scenarios are organized per module rather than as end-to-end business workflows — Phase 2's Procurement workflow (05_Business Process Document, Section 6.2) will be the first true cross-module UAT scenario, and belongs to Phase 2's own UAT Plan when that phase is scoped.</w:t>
      </w:r>
    </w:p>
    <w:p>
      <w:pPr>
        <w:pStyle w:val="Heading2"/>
        <w:bidi w:val="0"/>
        <w:jc w:val="left"/>
        <w:rPr/>
      </w:pPr>
      <w:r>
        <w:rPr/>
        <w:t>4. UAT Participants</w:t>
      </w:r>
    </w:p>
    <w:tbl>
      <w:tblPr>
        <w:tblW w:w="11339" w:type="dxa"/>
        <w:jc w:val="left"/>
        <w:tblInd w:w="28" w:type="dxa"/>
        <w:tblLayout w:type="fixed"/>
        <w:tblCellMar>
          <w:top w:w="28" w:type="dxa"/>
          <w:left w:w="28" w:type="dxa"/>
          <w:bottom w:w="28" w:type="dxa"/>
          <w:right w:w="28" w:type="dxa"/>
        </w:tblCellMar>
      </w:tblPr>
      <w:tblGrid>
        <w:gridCol w:w="3452"/>
        <w:gridCol w:w="4925"/>
        <w:gridCol w:w="2962"/>
      </w:tblGrid>
      <w:tr>
        <w:trPr/>
        <w:tc>
          <w:tcPr>
            <w:tcW w:w="3452" w:type="dxa"/>
            <w:tcBorders/>
            <w:vAlign w:val="center"/>
          </w:tcPr>
          <w:p>
            <w:pPr>
              <w:pStyle w:val="TableHeading"/>
              <w:suppressLineNumbers/>
              <w:shd w:fill="1F3864" w:val="clear"/>
              <w:bidi w:val="0"/>
              <w:spacing w:before="0" w:after="283"/>
              <w:jc w:val="left"/>
              <w:rPr/>
            </w:pPr>
            <w:r>
              <w:rPr/>
              <w:t>Scenario</w:t>
            </w:r>
          </w:p>
        </w:tc>
        <w:tc>
          <w:tcPr>
            <w:tcW w:w="4925" w:type="dxa"/>
            <w:tcBorders/>
            <w:vAlign w:val="center"/>
          </w:tcPr>
          <w:p>
            <w:pPr>
              <w:pStyle w:val="TableHeading"/>
              <w:suppressLineNumbers/>
              <w:shd w:fill="1F3864" w:val="clear"/>
              <w:bidi w:val="0"/>
              <w:spacing w:before="0" w:after="283"/>
              <w:jc w:val="left"/>
              <w:rPr/>
            </w:pPr>
            <w:r>
              <w:rPr/>
              <w:t>Participant (Process Owner)</w:t>
            </w:r>
          </w:p>
        </w:tc>
        <w:tc>
          <w:tcPr>
            <w:tcW w:w="2962" w:type="dxa"/>
            <w:tcBorders/>
            <w:vAlign w:val="center"/>
          </w:tcPr>
          <w:p>
            <w:pPr>
              <w:pStyle w:val="TableHeading"/>
              <w:suppressLineNumbers/>
              <w:shd w:fill="1F3864" w:val="clear"/>
              <w:bidi w:val="0"/>
              <w:spacing w:before="0" w:after="283"/>
              <w:jc w:val="left"/>
              <w:rPr/>
            </w:pPr>
            <w:r>
              <w:rPr/>
              <w:t>Per 05_Business Process Document</w:t>
            </w:r>
          </w:p>
        </w:tc>
      </w:tr>
      <w:tr>
        <w:trPr/>
        <w:tc>
          <w:tcPr>
            <w:tcW w:w="3452" w:type="dxa"/>
            <w:tcBorders/>
            <w:vAlign w:val="center"/>
          </w:tcPr>
          <w:p>
            <w:pPr>
              <w:pStyle w:val="TableContents"/>
              <w:bidi w:val="0"/>
              <w:spacing w:before="0" w:after="283"/>
              <w:jc w:val="left"/>
              <w:rPr/>
            </w:pPr>
            <w:r>
              <w:rPr/>
              <w:t>UAT-01 Company/Branch/Department Setup</w:t>
            </w:r>
          </w:p>
        </w:tc>
        <w:tc>
          <w:tcPr>
            <w:tcW w:w="4925" w:type="dxa"/>
            <w:tcBorders/>
            <w:vAlign w:val="center"/>
          </w:tcPr>
          <w:p>
            <w:pPr>
              <w:pStyle w:val="TableContents"/>
              <w:bidi w:val="0"/>
              <w:spacing w:before="0" w:after="283"/>
              <w:jc w:val="left"/>
              <w:rPr/>
            </w:pPr>
            <w:r>
              <w:rPr/>
              <w:t>IT Administrator, with Group CEO reviewing the consolidated view</w:t>
            </w:r>
          </w:p>
        </w:tc>
        <w:tc>
          <w:tcPr>
            <w:tcW w:w="2962" w:type="dxa"/>
            <w:tcBorders/>
            <w:vAlign w:val="center"/>
          </w:tcPr>
          <w:p>
            <w:pPr>
              <w:pStyle w:val="TableContents"/>
              <w:bidi w:val="0"/>
              <w:spacing w:before="0" w:after="283"/>
              <w:jc w:val="left"/>
              <w:rPr/>
            </w:pPr>
            <w:r>
              <w:rPr/>
              <w:t>Section 10</w:t>
            </w:r>
          </w:p>
        </w:tc>
      </w:tr>
      <w:tr>
        <w:trPr/>
        <w:tc>
          <w:tcPr>
            <w:tcW w:w="3452" w:type="dxa"/>
            <w:tcBorders/>
            <w:vAlign w:val="center"/>
          </w:tcPr>
          <w:p>
            <w:pPr>
              <w:pStyle w:val="TableContents"/>
              <w:bidi w:val="0"/>
              <w:spacing w:before="0" w:after="283"/>
              <w:jc w:val="left"/>
              <w:rPr/>
            </w:pPr>
            <w:r>
              <w:rPr/>
              <w:t>UAT-02 Employee Records</w:t>
            </w:r>
          </w:p>
        </w:tc>
        <w:tc>
          <w:tcPr>
            <w:tcW w:w="4925" w:type="dxa"/>
            <w:tcBorders/>
            <w:vAlign w:val="center"/>
          </w:tcPr>
          <w:p>
            <w:pPr>
              <w:pStyle w:val="TableContents"/>
              <w:bidi w:val="0"/>
              <w:spacing w:before="0" w:after="283"/>
              <w:jc w:val="left"/>
              <w:rPr/>
            </w:pPr>
            <w:r>
              <w:rPr/>
              <w:t>HR Manager</w:t>
            </w:r>
          </w:p>
        </w:tc>
        <w:tc>
          <w:tcPr>
            <w:tcW w:w="2962" w:type="dxa"/>
            <w:tcBorders/>
            <w:vAlign w:val="center"/>
          </w:tcPr>
          <w:p>
            <w:pPr>
              <w:pStyle w:val="TableContents"/>
              <w:bidi w:val="0"/>
              <w:spacing w:before="0" w:after="283"/>
              <w:jc w:val="left"/>
              <w:rPr/>
            </w:pPr>
            <w:r>
              <w:rPr/>
              <w:t>Section 10</w:t>
            </w:r>
          </w:p>
        </w:tc>
      </w:tr>
      <w:tr>
        <w:trPr/>
        <w:tc>
          <w:tcPr>
            <w:tcW w:w="3452" w:type="dxa"/>
            <w:tcBorders/>
            <w:vAlign w:val="center"/>
          </w:tcPr>
          <w:p>
            <w:pPr>
              <w:pStyle w:val="TableContents"/>
              <w:bidi w:val="0"/>
              <w:spacing w:before="0" w:after="283"/>
              <w:jc w:val="left"/>
              <w:rPr/>
            </w:pPr>
            <w:r>
              <w:rPr/>
              <w:t>UAT-03 Customer &amp; Supplier Records</w:t>
            </w:r>
          </w:p>
        </w:tc>
        <w:tc>
          <w:tcPr>
            <w:tcW w:w="4925" w:type="dxa"/>
            <w:tcBorders/>
            <w:vAlign w:val="center"/>
          </w:tcPr>
          <w:p>
            <w:pPr>
              <w:pStyle w:val="TableContents"/>
              <w:bidi w:val="0"/>
              <w:spacing w:before="0" w:after="283"/>
              <w:jc w:val="left"/>
              <w:rPr/>
            </w:pPr>
            <w:r>
              <w:rPr/>
              <w:t>Sales Manager and Procurement Officer</w:t>
            </w:r>
          </w:p>
        </w:tc>
        <w:tc>
          <w:tcPr>
            <w:tcW w:w="2962" w:type="dxa"/>
            <w:tcBorders/>
            <w:vAlign w:val="center"/>
          </w:tcPr>
          <w:p>
            <w:pPr>
              <w:pStyle w:val="TableContents"/>
              <w:bidi w:val="0"/>
              <w:spacing w:before="0" w:after="283"/>
              <w:jc w:val="left"/>
              <w:rPr/>
            </w:pPr>
            <w:r>
              <w:rPr/>
              <w:t>Section 10</w:t>
            </w:r>
          </w:p>
        </w:tc>
      </w:tr>
      <w:tr>
        <w:trPr/>
        <w:tc>
          <w:tcPr>
            <w:tcW w:w="3452" w:type="dxa"/>
            <w:tcBorders/>
            <w:vAlign w:val="center"/>
          </w:tcPr>
          <w:p>
            <w:pPr>
              <w:pStyle w:val="TableContents"/>
              <w:bidi w:val="0"/>
              <w:spacing w:before="0" w:after="283"/>
              <w:jc w:val="left"/>
              <w:rPr/>
            </w:pPr>
            <w:r>
              <w:rPr/>
              <w:t>UAT-04 Product Records</w:t>
            </w:r>
          </w:p>
        </w:tc>
        <w:tc>
          <w:tcPr>
            <w:tcW w:w="4925" w:type="dxa"/>
            <w:tcBorders/>
            <w:vAlign w:val="center"/>
          </w:tcPr>
          <w:p>
            <w:pPr>
              <w:pStyle w:val="TableContents"/>
              <w:bidi w:val="0"/>
              <w:spacing w:before="0" w:after="283"/>
              <w:jc w:val="left"/>
              <w:rPr/>
            </w:pPr>
            <w:r>
              <w:rPr/>
              <w:t>Procurement Officer</w:t>
            </w:r>
          </w:p>
        </w:tc>
        <w:tc>
          <w:tcPr>
            <w:tcW w:w="2962" w:type="dxa"/>
            <w:tcBorders/>
            <w:vAlign w:val="center"/>
          </w:tcPr>
          <w:p>
            <w:pPr>
              <w:pStyle w:val="TableContents"/>
              <w:bidi w:val="0"/>
              <w:spacing w:before="0" w:after="283"/>
              <w:jc w:val="left"/>
              <w:rPr/>
            </w:pPr>
            <w:r>
              <w:rPr/>
              <w:t>Section 10</w:t>
            </w:r>
          </w:p>
        </w:tc>
      </w:tr>
      <w:tr>
        <w:trPr/>
        <w:tc>
          <w:tcPr>
            <w:tcW w:w="3452" w:type="dxa"/>
            <w:tcBorders/>
            <w:vAlign w:val="center"/>
          </w:tcPr>
          <w:p>
            <w:pPr>
              <w:pStyle w:val="TableContents"/>
              <w:bidi w:val="0"/>
              <w:spacing w:before="0" w:after="283"/>
              <w:jc w:val="left"/>
              <w:rPr/>
            </w:pPr>
            <w:r>
              <w:rPr/>
              <w:t>UAT-05 Basic Accounting</w:t>
            </w:r>
          </w:p>
        </w:tc>
        <w:tc>
          <w:tcPr>
            <w:tcW w:w="4925" w:type="dxa"/>
            <w:tcBorders/>
            <w:vAlign w:val="center"/>
          </w:tcPr>
          <w:p>
            <w:pPr>
              <w:pStyle w:val="TableContents"/>
              <w:bidi w:val="0"/>
              <w:spacing w:before="0" w:after="283"/>
              <w:jc w:val="left"/>
              <w:rPr/>
            </w:pPr>
            <w:r>
              <w:rPr/>
              <w:t>Finance Manager / Accountant</w:t>
            </w:r>
          </w:p>
        </w:tc>
        <w:tc>
          <w:tcPr>
            <w:tcW w:w="2962" w:type="dxa"/>
            <w:tcBorders/>
            <w:vAlign w:val="center"/>
          </w:tcPr>
          <w:p>
            <w:pPr>
              <w:pStyle w:val="TableContents"/>
              <w:bidi w:val="0"/>
              <w:spacing w:before="0" w:after="283"/>
              <w:jc w:val="left"/>
              <w:rPr/>
            </w:pPr>
            <w:r>
              <w:rPr/>
              <w:t>Section 10</w:t>
            </w:r>
          </w:p>
        </w:tc>
      </w:tr>
      <w:tr>
        <w:trPr/>
        <w:tc>
          <w:tcPr>
            <w:tcW w:w="3452" w:type="dxa"/>
            <w:tcBorders/>
            <w:vAlign w:val="center"/>
          </w:tcPr>
          <w:p>
            <w:pPr>
              <w:pStyle w:val="TableContents"/>
              <w:bidi w:val="0"/>
              <w:spacing w:before="0" w:after="283"/>
              <w:jc w:val="left"/>
              <w:rPr/>
            </w:pPr>
            <w:r>
              <w:rPr/>
              <w:t>UAT-06 Audit Trail &amp; Dashboard</w:t>
            </w:r>
          </w:p>
        </w:tc>
        <w:tc>
          <w:tcPr>
            <w:tcW w:w="4925" w:type="dxa"/>
            <w:tcBorders/>
            <w:vAlign w:val="center"/>
          </w:tcPr>
          <w:p>
            <w:pPr>
              <w:pStyle w:val="TableContents"/>
              <w:bidi w:val="0"/>
              <w:spacing w:before="0" w:after="283"/>
              <w:jc w:val="left"/>
              <w:rPr/>
            </w:pPr>
            <w:r>
              <w:rPr/>
              <w:t>External Auditor and Managing Director</w:t>
            </w:r>
          </w:p>
        </w:tc>
        <w:tc>
          <w:tcPr>
            <w:tcW w:w="2962" w:type="dxa"/>
            <w:tcBorders/>
            <w:vAlign w:val="center"/>
          </w:tcPr>
          <w:p>
            <w:pPr>
              <w:pStyle w:val="TableContents"/>
              <w:bidi w:val="0"/>
              <w:spacing w:before="0" w:after="283"/>
              <w:jc w:val="left"/>
              <w:rPr/>
            </w:pPr>
            <w:r>
              <w:rPr/>
              <w:t>Section 10</w:t>
            </w:r>
          </w:p>
        </w:tc>
      </w:tr>
    </w:tbl>
    <w:p>
      <w:pPr>
        <w:pStyle w:val="BodyText"/>
        <w:bidi w:val="0"/>
        <w:jc w:val="left"/>
        <w:rPr/>
      </w:pPr>
      <w:r>
        <w:rPr>
          <w:b/>
        </w:rPr>
        <w:t>UAT Coordinator:</w:t>
      </w:r>
      <w:r>
        <w:rPr/>
        <w:t xml:space="preserve"> IT Administrator, supported by the Director, responsible for scheduling sessions, provisioning accounts, and consolidating sign-offs (Section 9).</w:t>
      </w:r>
    </w:p>
    <w:p>
      <w:pPr>
        <w:pStyle w:val="Heading2"/>
        <w:bidi w:val="0"/>
        <w:jc w:val="left"/>
        <w:rPr/>
      </w:pPr>
      <w:r>
        <w:rPr/>
        <w:t>5. UAT Environment and Data</w:t>
      </w:r>
    </w:p>
    <w:p>
      <w:pPr>
        <w:pStyle w:val="BodyText"/>
        <w:numPr>
          <w:ilvl w:val="0"/>
          <w:numId w:val="2"/>
        </w:numPr>
        <w:tabs>
          <w:tab w:val="clear" w:pos="1134"/>
          <w:tab w:val="left" w:pos="709" w:leader="none"/>
        </w:tabs>
        <w:bidi w:val="0"/>
        <w:spacing w:before="0" w:after="0"/>
        <w:ind w:hanging="283" w:left="709"/>
        <w:jc w:val="left"/>
        <w:rPr/>
      </w:pPr>
      <w:r>
        <w:rPr/>
        <w:t xml:space="preserve">UAT runs in the </w:t>
      </w:r>
      <w:r>
        <w:rPr>
          <w:b/>
        </w:rPr>
        <w:t>staging environment</w:t>
      </w:r>
      <w:r>
        <w:rPr/>
        <w:t xml:space="preserve"> (11_Deployment Plan, Section 3), not production — no real Group data is used. </w:t>
      </w:r>
    </w:p>
    <w:p>
      <w:pPr>
        <w:pStyle w:val="BodyText"/>
        <w:numPr>
          <w:ilvl w:val="0"/>
          <w:numId w:val="2"/>
        </w:numPr>
        <w:tabs>
          <w:tab w:val="clear" w:pos="1134"/>
          <w:tab w:val="left" w:pos="709" w:leader="none"/>
        </w:tabs>
        <w:bidi w:val="0"/>
        <w:spacing w:before="0" w:after="0"/>
        <w:ind w:hanging="283" w:left="709"/>
        <w:jc w:val="left"/>
        <w:rPr/>
      </w:pPr>
      <w:r>
        <w:rPr/>
        <w:t xml:space="preserve">Test data is synthetic but realistic: fictitious test companies, employees, customers and suppliers created specifically for UAT, not copies of real personal or financial records. This avoids exposing real employee bank/tax details or customer/supplier information during testing, consistent with the data-protection caution already raised in 03_Feasibility Study, Section 7. </w:t>
      </w:r>
    </w:p>
    <w:p>
      <w:pPr>
        <w:pStyle w:val="BodyText"/>
        <w:numPr>
          <w:ilvl w:val="0"/>
          <w:numId w:val="2"/>
        </w:numPr>
        <w:tabs>
          <w:tab w:val="clear" w:pos="1134"/>
          <w:tab w:val="left" w:pos="709" w:leader="none"/>
        </w:tabs>
        <w:bidi w:val="0"/>
        <w:spacing w:before="0" w:after="0"/>
        <w:ind w:hanging="283" w:left="709"/>
        <w:jc w:val="left"/>
        <w:rPr/>
      </w:pPr>
      <w:r>
        <w:rPr/>
        <w:t xml:space="preserve">Each participant is issued a UAT-specific user account, scoped to a designated test company/branch, created via the same User Management functionality being tested (Scenario UAT-01) — this doubles as the first test of that functionality. </w:t>
      </w:r>
    </w:p>
    <w:p>
      <w:pPr>
        <w:pStyle w:val="BodyText"/>
        <w:numPr>
          <w:ilvl w:val="0"/>
          <w:numId w:val="2"/>
        </w:numPr>
        <w:tabs>
          <w:tab w:val="clear" w:pos="1134"/>
          <w:tab w:val="left" w:pos="709" w:leader="none"/>
        </w:tabs>
        <w:bidi w:val="0"/>
        <w:ind w:hanging="283" w:left="709"/>
        <w:jc w:val="left"/>
        <w:rPr/>
      </w:pPr>
      <w:r>
        <w:rPr/>
        <w:t xml:space="preserve">Test data created during UAT is not migrated to production; production data migration follows the separate process in 11_Deployment Plan, Section 7. </w:t>
      </w:r>
    </w:p>
    <w:p>
      <w:pPr>
        <w:pStyle w:val="Heading2"/>
        <w:bidi w:val="0"/>
        <w:jc w:val="left"/>
        <w:rPr/>
      </w:pPr>
      <w:r>
        <w:rPr/>
        <w:t>6. Schedule and Entry Criteria</w:t>
      </w:r>
    </w:p>
    <w:p>
      <w:pPr>
        <w:pStyle w:val="BodyText"/>
        <w:bidi w:val="0"/>
        <w:jc w:val="left"/>
        <w:rPr/>
      </w:pPr>
      <w:r>
        <w:rPr/>
        <w:t>Per 10_Test Plan, Section 6, UAT begins in Sprint 8, after Alpha testing has passed and staging has been stable for at least one week without a Critical defect (10_Test Plan, Section 5). Each scenario below is scheduled as a 1–2 hour session with its participant(s), with a follow-up window for re-testing any fixed issues before sign-off.</w:t>
      </w:r>
    </w:p>
    <w:p>
      <w:pPr>
        <w:pStyle w:val="Heading2"/>
        <w:bidi w:val="0"/>
        <w:jc w:val="left"/>
        <w:rPr/>
      </w:pPr>
      <w:r>
        <w:rPr/>
        <w:t>7. UAT Scenarios</w:t>
      </w:r>
    </w:p>
    <w:p>
      <w:pPr>
        <w:pStyle w:val="BodyText"/>
        <w:bidi w:val="0"/>
        <w:spacing w:before="270" w:after="283"/>
        <w:ind w:hanging="0" w:left="0" w:right="0"/>
        <w:jc w:val="left"/>
        <w:rPr>
          <w:b/>
          <w:color w:val="FFFFFF"/>
          <w:sz w:val="24"/>
          <w:shd w:fill="1F3864" w:val="clear"/>
        </w:rPr>
      </w:pPr>
      <w:r>
        <w:rPr>
          <w:b/>
          <w:color w:val="FFFFFF"/>
          <w:sz w:val="24"/>
          <w:shd w:fill="1F3864" w:val="clear"/>
        </w:rPr>
        <w:t>UAT-01 — Company, Branch and Department Setup</w:t>
      </w:r>
    </w:p>
    <w:p>
      <w:pPr>
        <w:pStyle w:val="BodyText"/>
        <w:bidi w:val="0"/>
        <w:jc w:val="left"/>
        <w:rPr/>
      </w:pPr>
      <w:r>
        <w:rPr>
          <w:b/>
        </w:rPr>
        <w:t>Participant:</w:t>
      </w:r>
      <w:r>
        <w:rPr/>
        <w:t xml:space="preserve"> IT Administrator (steps 1–5), Group CEO (step 7)  |  </w:t>
      </w:r>
      <w:r>
        <w:rPr>
          <w:b/>
        </w:rPr>
        <w:t>Traces to:</w:t>
      </w:r>
      <w:r>
        <w:rPr/>
        <w:t xml:space="preserve"> AC-02, AC-03, FR-COMP-01–09</w:t>
      </w:r>
    </w:p>
    <w:p>
      <w:pPr>
        <w:pStyle w:val="BodyText"/>
        <w:numPr>
          <w:ilvl w:val="0"/>
          <w:numId w:val="3"/>
        </w:numPr>
        <w:tabs>
          <w:tab w:val="clear" w:pos="1134"/>
          <w:tab w:val="left" w:pos="709" w:leader="none"/>
        </w:tabs>
        <w:bidi w:val="0"/>
        <w:spacing w:before="0" w:after="0"/>
        <w:ind w:hanging="283" w:left="709"/>
        <w:jc w:val="left"/>
        <w:rPr/>
      </w:pPr>
      <w:r>
        <w:rPr/>
        <w:t xml:space="preserve">Log in as Super Administrator. </w:t>
      </w:r>
      <w:r>
        <w:rPr>
          <w:i/>
        </w:rPr>
        <w:t>Expected: dashboard loads.</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Create a new test subsidiary (name, registration number, tax ID, currency = UGX, financial year start date) and save. </w:t>
      </w:r>
      <w:r>
        <w:rPr>
          <w:i/>
        </w:rPr>
        <w:t>Expected: subsidiary appears in the company list.</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Open the new subsidiary, add a branch (name, address), save. </w:t>
      </w:r>
      <w:r>
        <w:rPr>
          <w:i/>
        </w:rPr>
        <w:t>Expected: branch appears under the subsidiary.</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Add a department under the subsidiary, save. </w:t>
      </w:r>
      <w:r>
        <w:rPr>
          <w:i/>
        </w:rPr>
        <w:t>Expected: department appears.</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Create a new user, assign them to the test subsidiary/branch, assign the "Branch Manager" role, save. </w:t>
      </w:r>
    </w:p>
    <w:p>
      <w:pPr>
        <w:pStyle w:val="BodyText"/>
        <w:numPr>
          <w:ilvl w:val="0"/>
          <w:numId w:val="3"/>
        </w:numPr>
        <w:tabs>
          <w:tab w:val="clear" w:pos="1134"/>
          <w:tab w:val="left" w:pos="709" w:leader="none"/>
        </w:tabs>
        <w:bidi w:val="0"/>
        <w:spacing w:before="0" w:after="0"/>
        <w:ind w:hanging="283" w:left="709"/>
        <w:jc w:val="left"/>
        <w:rPr/>
      </w:pPr>
      <w:r>
        <w:rPr/>
        <w:t xml:space="preserve">Log out; log in as the new Branch Manager user. </w:t>
      </w:r>
      <w:r>
        <w:rPr>
          <w:i/>
        </w:rPr>
        <w:t>Expected: this user's dashboard shows only the test subsidiary's data — no other company is visible.</w:t>
      </w:r>
      <w:r>
        <w:rPr/>
        <w:t xml:space="preserve"> </w:t>
      </w:r>
    </w:p>
    <w:p>
      <w:pPr>
        <w:pStyle w:val="BodyText"/>
        <w:numPr>
          <w:ilvl w:val="0"/>
          <w:numId w:val="3"/>
        </w:numPr>
        <w:tabs>
          <w:tab w:val="clear" w:pos="1134"/>
          <w:tab w:val="left" w:pos="709" w:leader="none"/>
        </w:tabs>
        <w:bidi w:val="0"/>
        <w:ind w:hanging="283" w:left="709"/>
        <w:jc w:val="left"/>
        <w:rPr/>
      </w:pPr>
      <w:r>
        <w:rPr/>
        <w:t xml:space="preserve">As Group CEO, view the consolidated company/branch list. </w:t>
      </w:r>
      <w:r>
        <w:rPr>
          <w:i/>
        </w:rPr>
        <w:t>Expected: the test subsidiary and branch appear correctly in the Group-wide view.</w:t>
      </w:r>
      <w:r>
        <w:rPr/>
        <w:t xml:space="preserve"> </w:t>
      </w:r>
    </w:p>
    <w:p>
      <w:pPr>
        <w:pStyle w:val="BodyText"/>
        <w:bidi w:val="0"/>
        <w:spacing w:before="270" w:after="283"/>
        <w:ind w:hanging="0" w:left="0" w:right="0"/>
        <w:jc w:val="left"/>
        <w:rPr>
          <w:b/>
          <w:color w:val="FFFFFF"/>
          <w:sz w:val="24"/>
          <w:shd w:fill="1F3864" w:val="clear"/>
        </w:rPr>
      </w:pPr>
      <w:r>
        <w:rPr>
          <w:b/>
          <w:color w:val="FFFFFF"/>
          <w:sz w:val="24"/>
          <w:shd w:fill="1F3864" w:val="clear"/>
        </w:rPr>
        <w:t>UAT-02 — Employee Records</w:t>
      </w:r>
    </w:p>
    <w:p>
      <w:pPr>
        <w:pStyle w:val="BodyText"/>
        <w:bidi w:val="0"/>
        <w:jc w:val="left"/>
        <w:rPr/>
      </w:pPr>
      <w:r>
        <w:rPr>
          <w:b/>
        </w:rPr>
        <w:t>Participant:</w:t>
      </w:r>
      <w:r>
        <w:rPr/>
        <w:t xml:space="preserve"> HR Manager  |  </w:t>
      </w:r>
      <w:r>
        <w:rPr>
          <w:b/>
        </w:rPr>
        <w:t>Traces to:</w:t>
      </w:r>
      <w:r>
        <w:rPr/>
        <w:t xml:space="preserve"> AC-05, FR-EMP-01–06</w:t>
      </w:r>
    </w:p>
    <w:p>
      <w:pPr>
        <w:pStyle w:val="BodyText"/>
        <w:numPr>
          <w:ilvl w:val="0"/>
          <w:numId w:val="4"/>
        </w:numPr>
        <w:tabs>
          <w:tab w:val="clear" w:pos="1134"/>
          <w:tab w:val="left" w:pos="709" w:leader="none"/>
        </w:tabs>
        <w:bidi w:val="0"/>
        <w:spacing w:before="0" w:after="0"/>
        <w:ind w:hanging="283" w:left="709"/>
        <w:jc w:val="left"/>
        <w:rPr/>
      </w:pPr>
      <w:r>
        <w:rPr/>
        <w:t xml:space="preserve">Log in as HR Manager. </w:t>
      </w:r>
    </w:p>
    <w:p>
      <w:pPr>
        <w:pStyle w:val="BodyText"/>
        <w:numPr>
          <w:ilvl w:val="0"/>
          <w:numId w:val="4"/>
        </w:numPr>
        <w:tabs>
          <w:tab w:val="clear" w:pos="1134"/>
          <w:tab w:val="left" w:pos="709" w:leader="none"/>
        </w:tabs>
        <w:bidi w:val="0"/>
        <w:spacing w:before="0" w:after="0"/>
        <w:ind w:hanging="283" w:left="709"/>
        <w:jc w:val="left"/>
        <w:rPr/>
      </w:pPr>
      <w:r>
        <w:rPr/>
        <w:t xml:space="preserve">Create a new employee with identification, job title, department, branch, company and employment start date; save. </w:t>
      </w:r>
      <w:r>
        <w:rPr>
          <w:i/>
        </w:rPr>
        <w:t>Expected: employee appears in the employee list.</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Open the record, add bank and tax information, save. </w:t>
      </w:r>
      <w:r>
        <w:rPr>
          <w:i/>
        </w:rPr>
        <w:t>Expected: fields save correctly and are masked when viewed by a test user who does not hold the elevated permission (FR-USER-08).</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Add next-of-kin and emergency-contact details, save. </w:t>
      </w:r>
    </w:p>
    <w:p>
      <w:pPr>
        <w:pStyle w:val="BodyText"/>
        <w:numPr>
          <w:ilvl w:val="0"/>
          <w:numId w:val="4"/>
        </w:numPr>
        <w:tabs>
          <w:tab w:val="clear" w:pos="1134"/>
          <w:tab w:val="left" w:pos="709" w:leader="none"/>
        </w:tabs>
        <w:bidi w:val="0"/>
        <w:spacing w:before="0" w:after="0"/>
        <w:ind w:hanging="283" w:left="709"/>
        <w:jc w:val="left"/>
        <w:rPr/>
      </w:pPr>
      <w:r>
        <w:rPr/>
        <w:t xml:space="preserve">Upload a sample document (e.g. a test employment contract PDF). </w:t>
      </w:r>
      <w:r>
        <w:rPr>
          <w:i/>
        </w:rPr>
        <w:t>Expected: document uploads and is downloadable afterward.</w:t>
      </w:r>
      <w:r>
        <w:rPr/>
        <w:t xml:space="preserve"> </w:t>
      </w:r>
    </w:p>
    <w:p>
      <w:pPr>
        <w:pStyle w:val="BodyText"/>
        <w:numPr>
          <w:ilvl w:val="0"/>
          <w:numId w:val="4"/>
        </w:numPr>
        <w:tabs>
          <w:tab w:val="clear" w:pos="1134"/>
          <w:tab w:val="left" w:pos="709" w:leader="none"/>
        </w:tabs>
        <w:bidi w:val="0"/>
        <w:ind w:hanging="283" w:left="709"/>
        <w:jc w:val="left"/>
        <w:rPr/>
      </w:pPr>
      <w:r>
        <w:rPr/>
        <w:t xml:space="preserve">Filter the employee list by department. </w:t>
      </w:r>
      <w:r>
        <w:rPr>
          <w:i/>
        </w:rPr>
        <w:t>Expected: only the correct employee(s) appear.</w:t>
      </w:r>
      <w:r>
        <w:rPr/>
        <w:t xml:space="preserve"> </w:t>
      </w:r>
    </w:p>
    <w:p>
      <w:pPr>
        <w:pStyle w:val="BodyText"/>
        <w:bidi w:val="0"/>
        <w:spacing w:before="270" w:after="283"/>
        <w:ind w:hanging="0" w:left="0" w:right="0"/>
        <w:jc w:val="left"/>
        <w:rPr>
          <w:b/>
          <w:color w:val="FFFFFF"/>
          <w:sz w:val="24"/>
          <w:shd w:fill="1F3864" w:val="clear"/>
        </w:rPr>
      </w:pPr>
      <w:r>
        <w:rPr>
          <w:b/>
          <w:color w:val="FFFFFF"/>
          <w:sz w:val="24"/>
          <w:shd w:fill="1F3864" w:val="clear"/>
        </w:rPr>
        <w:t>UAT-03 — Customer and Supplier Records</w:t>
      </w:r>
    </w:p>
    <w:p>
      <w:pPr>
        <w:pStyle w:val="BodyText"/>
        <w:bidi w:val="0"/>
        <w:jc w:val="left"/>
        <w:rPr/>
      </w:pPr>
      <w:r>
        <w:rPr>
          <w:b/>
        </w:rPr>
        <w:t>Participant:</w:t>
      </w:r>
      <w:r>
        <w:rPr/>
        <w:t xml:space="preserve"> Sales Manager (customer steps), Procurement Officer (supplier steps)  |  </w:t>
      </w:r>
      <w:r>
        <w:rPr>
          <w:b/>
        </w:rPr>
        <w:t>Traces to:</w:t>
      </w:r>
      <w:r>
        <w:rPr/>
        <w:t xml:space="preserve"> AC-06, FR-CUST-01–03, FR-SUPP-01–03</w:t>
      </w:r>
    </w:p>
    <w:p>
      <w:pPr>
        <w:pStyle w:val="BodyText"/>
        <w:numPr>
          <w:ilvl w:val="0"/>
          <w:numId w:val="5"/>
        </w:numPr>
        <w:tabs>
          <w:tab w:val="clear" w:pos="1134"/>
          <w:tab w:val="left" w:pos="709" w:leader="none"/>
        </w:tabs>
        <w:bidi w:val="0"/>
        <w:spacing w:before="0" w:after="0"/>
        <w:ind w:hanging="283" w:left="709"/>
        <w:jc w:val="left"/>
        <w:rPr/>
      </w:pPr>
      <w:r>
        <w:rPr/>
        <w:t xml:space="preserve">Log in as a Sales user; create a customer with contact and category information; save. </w:t>
      </w:r>
    </w:p>
    <w:p>
      <w:pPr>
        <w:pStyle w:val="BodyText"/>
        <w:numPr>
          <w:ilvl w:val="0"/>
          <w:numId w:val="5"/>
        </w:numPr>
        <w:tabs>
          <w:tab w:val="clear" w:pos="1134"/>
          <w:tab w:val="left" w:pos="709" w:leader="none"/>
        </w:tabs>
        <w:bidi w:val="0"/>
        <w:spacing w:before="0" w:after="0"/>
        <w:ind w:hanging="283" w:left="709"/>
        <w:jc w:val="left"/>
        <w:rPr/>
      </w:pPr>
      <w:r>
        <w:rPr/>
        <w:t xml:space="preserve">Edit the customer's credit limit and payment terms; save. </w:t>
      </w:r>
      <w:r>
        <w:rPr>
          <w:i/>
        </w:rPr>
        <w:t>Expected: updated values display correctly.</w:t>
      </w:r>
      <w:r>
        <w:rPr/>
        <w:t xml:space="preserve"> </w:t>
      </w:r>
    </w:p>
    <w:p>
      <w:pPr>
        <w:pStyle w:val="BodyText"/>
        <w:numPr>
          <w:ilvl w:val="0"/>
          <w:numId w:val="5"/>
        </w:numPr>
        <w:tabs>
          <w:tab w:val="clear" w:pos="1134"/>
          <w:tab w:val="left" w:pos="709" w:leader="none"/>
        </w:tabs>
        <w:bidi w:val="0"/>
        <w:spacing w:before="0" w:after="0"/>
        <w:ind w:hanging="283" w:left="709"/>
        <w:jc w:val="left"/>
        <w:rPr/>
      </w:pPr>
      <w:r>
        <w:rPr/>
        <w:t xml:space="preserve">View the customer's statement/history. </w:t>
      </w:r>
      <w:r>
        <w:rPr>
          <w:i/>
        </w:rPr>
        <w:t>Expected: loads without error (empty, since no Phase 1 sales transactions exist yet).</w:t>
      </w:r>
      <w:r>
        <w:rPr/>
        <w:t xml:space="preserve"> </w:t>
      </w:r>
    </w:p>
    <w:p>
      <w:pPr>
        <w:pStyle w:val="BodyText"/>
        <w:numPr>
          <w:ilvl w:val="0"/>
          <w:numId w:val="5"/>
        </w:numPr>
        <w:tabs>
          <w:tab w:val="clear" w:pos="1134"/>
          <w:tab w:val="left" w:pos="709" w:leader="none"/>
        </w:tabs>
        <w:bidi w:val="0"/>
        <w:spacing w:before="0" w:after="0"/>
        <w:ind w:hanging="283" w:left="709"/>
        <w:jc w:val="left"/>
        <w:rPr/>
      </w:pPr>
      <w:r>
        <w:rPr/>
        <w:t xml:space="preserve">Log in as a Procurement user; create a supplier; save. </w:t>
      </w:r>
    </w:p>
    <w:p>
      <w:pPr>
        <w:pStyle w:val="BodyText"/>
        <w:numPr>
          <w:ilvl w:val="0"/>
          <w:numId w:val="5"/>
        </w:numPr>
        <w:tabs>
          <w:tab w:val="clear" w:pos="1134"/>
          <w:tab w:val="left" w:pos="709" w:leader="none"/>
        </w:tabs>
        <w:bidi w:val="0"/>
        <w:spacing w:before="0" w:after="0"/>
        <w:ind w:hanging="283" w:left="709"/>
        <w:jc w:val="left"/>
        <w:rPr/>
      </w:pPr>
      <w:r>
        <w:rPr/>
        <w:t xml:space="preserve">Upload a supplier document (e.g. a test tax certificate). </w:t>
      </w:r>
      <w:r>
        <w:rPr>
          <w:i/>
        </w:rPr>
        <w:t>Expected: saved and retrievable.</w:t>
      </w:r>
      <w:r>
        <w:rPr/>
        <w:t xml:space="preserve"> </w:t>
      </w:r>
    </w:p>
    <w:p>
      <w:pPr>
        <w:pStyle w:val="BodyText"/>
        <w:numPr>
          <w:ilvl w:val="0"/>
          <w:numId w:val="5"/>
        </w:numPr>
        <w:tabs>
          <w:tab w:val="clear" w:pos="1134"/>
          <w:tab w:val="left" w:pos="709" w:leader="none"/>
        </w:tabs>
        <w:bidi w:val="0"/>
        <w:ind w:hanging="283" w:left="709"/>
        <w:jc w:val="left"/>
        <w:rPr/>
      </w:pPr>
      <w:r>
        <w:rPr/>
        <w:t xml:space="preserve">Mark the supplier blacklisted, then unblacklist. </w:t>
      </w:r>
      <w:r>
        <w:rPr>
          <w:i/>
        </w:rPr>
        <w:t>Expected: status updates correctly each time.</w:t>
      </w:r>
      <w:r>
        <w:rPr/>
        <w:t xml:space="preserve"> </w:t>
      </w:r>
    </w:p>
    <w:p>
      <w:pPr>
        <w:pStyle w:val="BodyText"/>
        <w:bidi w:val="0"/>
        <w:spacing w:before="270" w:after="283"/>
        <w:ind w:hanging="0" w:left="0" w:right="0"/>
        <w:jc w:val="left"/>
        <w:rPr>
          <w:b/>
          <w:color w:val="FFFFFF"/>
          <w:sz w:val="24"/>
          <w:shd w:fill="1F3864" w:val="clear"/>
        </w:rPr>
      </w:pPr>
      <w:r>
        <w:rPr>
          <w:b/>
          <w:color w:val="FFFFFF"/>
          <w:sz w:val="24"/>
          <w:shd w:fill="1F3864" w:val="clear"/>
        </w:rPr>
        <w:t>UAT-04 — Product Records</w:t>
      </w:r>
    </w:p>
    <w:p>
      <w:pPr>
        <w:pStyle w:val="BodyText"/>
        <w:bidi w:val="0"/>
        <w:jc w:val="left"/>
        <w:rPr/>
      </w:pPr>
      <w:r>
        <w:rPr>
          <w:b/>
        </w:rPr>
        <w:t>Participant:</w:t>
      </w:r>
      <w:r>
        <w:rPr/>
        <w:t xml:space="preserve"> Procurement Officer  |  </w:t>
      </w:r>
      <w:r>
        <w:rPr>
          <w:b/>
        </w:rPr>
        <w:t>Traces to:</w:t>
      </w:r>
      <w:r>
        <w:rPr/>
        <w:t xml:space="preserve"> AC-07, FR-PROD-01–03</w:t>
      </w:r>
    </w:p>
    <w:p>
      <w:pPr>
        <w:pStyle w:val="BodyText"/>
        <w:numPr>
          <w:ilvl w:val="0"/>
          <w:numId w:val="6"/>
        </w:numPr>
        <w:tabs>
          <w:tab w:val="clear" w:pos="1134"/>
          <w:tab w:val="left" w:pos="709" w:leader="none"/>
        </w:tabs>
        <w:bidi w:val="0"/>
        <w:spacing w:before="0" w:after="0"/>
        <w:ind w:hanging="283" w:left="709"/>
        <w:jc w:val="left"/>
        <w:rPr/>
      </w:pPr>
      <w:r>
        <w:rPr/>
        <w:t xml:space="preserve">Log in as a Procurement user; create a product category. </w:t>
      </w:r>
    </w:p>
    <w:p>
      <w:pPr>
        <w:pStyle w:val="BodyText"/>
        <w:numPr>
          <w:ilvl w:val="0"/>
          <w:numId w:val="6"/>
        </w:numPr>
        <w:tabs>
          <w:tab w:val="clear" w:pos="1134"/>
          <w:tab w:val="left" w:pos="709" w:leader="none"/>
        </w:tabs>
        <w:bidi w:val="0"/>
        <w:spacing w:before="0" w:after="0"/>
        <w:ind w:hanging="283" w:left="709"/>
        <w:jc w:val="left"/>
        <w:rPr/>
      </w:pPr>
      <w:r>
        <w:rPr/>
        <w:t xml:space="preserve">Create a product under that category with a product code, unit of measure and barcode; save. </w:t>
      </w:r>
    </w:p>
    <w:p>
      <w:pPr>
        <w:pStyle w:val="BodyText"/>
        <w:numPr>
          <w:ilvl w:val="0"/>
          <w:numId w:val="6"/>
        </w:numPr>
        <w:tabs>
          <w:tab w:val="clear" w:pos="1134"/>
          <w:tab w:val="left" w:pos="709" w:leader="none"/>
        </w:tabs>
        <w:bidi w:val="0"/>
        <w:spacing w:before="0" w:after="0"/>
        <w:ind w:hanging="283" w:left="709"/>
        <w:jc w:val="left"/>
        <w:rPr/>
      </w:pPr>
      <w:r>
        <w:rPr/>
        <w:t xml:space="preserve">Attempt to create a second product with the same code in the same company. </w:t>
      </w:r>
      <w:r>
        <w:rPr>
          <w:i/>
        </w:rPr>
        <w:t>Expected: rejected, with a clear error message (not a generic failure).</w:t>
      </w:r>
      <w:r>
        <w:rPr/>
        <w:t xml:space="preserve"> </w:t>
      </w:r>
    </w:p>
    <w:p>
      <w:pPr>
        <w:pStyle w:val="BodyText"/>
        <w:numPr>
          <w:ilvl w:val="0"/>
          <w:numId w:val="6"/>
        </w:numPr>
        <w:tabs>
          <w:tab w:val="clear" w:pos="1134"/>
          <w:tab w:val="left" w:pos="709" w:leader="none"/>
        </w:tabs>
        <w:bidi w:val="0"/>
        <w:ind w:hanging="283" w:left="709"/>
        <w:jc w:val="left"/>
        <w:rPr/>
      </w:pPr>
      <w:r>
        <w:rPr/>
        <w:t xml:space="preserve">Edit the product's details; save. </w:t>
      </w:r>
      <w:r>
        <w:rPr>
          <w:i/>
        </w:rPr>
        <w:t>Expected: changes persist.</w:t>
      </w:r>
      <w:r>
        <w:rPr/>
        <w:t xml:space="preserve"> </w:t>
      </w:r>
    </w:p>
    <w:p>
      <w:pPr>
        <w:pStyle w:val="BodyText"/>
        <w:bidi w:val="0"/>
        <w:spacing w:before="270" w:after="283"/>
        <w:ind w:hanging="0" w:left="0" w:right="0"/>
        <w:jc w:val="left"/>
        <w:rPr>
          <w:b/>
          <w:color w:val="FFFFFF"/>
          <w:sz w:val="24"/>
          <w:shd w:fill="1F3864" w:val="clear"/>
        </w:rPr>
      </w:pPr>
      <w:r>
        <w:rPr>
          <w:b/>
          <w:color w:val="FFFFFF"/>
          <w:sz w:val="24"/>
          <w:shd w:fill="1F3864" w:val="clear"/>
        </w:rPr>
        <w:t>UAT-05 — Basic Accounting</w:t>
      </w:r>
    </w:p>
    <w:p>
      <w:pPr>
        <w:pStyle w:val="BodyText"/>
        <w:bidi w:val="0"/>
        <w:jc w:val="left"/>
        <w:rPr/>
      </w:pPr>
      <w:r>
        <w:rPr>
          <w:b/>
        </w:rPr>
        <w:t>Participant:</w:t>
      </w:r>
      <w:r>
        <w:rPr/>
        <w:t xml:space="preserve"> Finance Manager / Accountant  |  </w:t>
      </w:r>
      <w:r>
        <w:rPr>
          <w:b/>
        </w:rPr>
        <w:t>Traces to:</w:t>
      </w:r>
      <w:r>
        <w:rPr/>
        <w:t xml:space="preserve"> AC-08, AC-09, FR-ACC-01–07, BR-03, BR-04</w:t>
      </w:r>
    </w:p>
    <w:p>
      <w:pPr>
        <w:pStyle w:val="BodyText"/>
        <w:numPr>
          <w:ilvl w:val="0"/>
          <w:numId w:val="7"/>
        </w:numPr>
        <w:tabs>
          <w:tab w:val="clear" w:pos="1134"/>
          <w:tab w:val="left" w:pos="709" w:leader="none"/>
        </w:tabs>
        <w:bidi w:val="0"/>
        <w:spacing w:before="0" w:after="0"/>
        <w:ind w:hanging="283" w:left="709"/>
        <w:jc w:val="left"/>
        <w:rPr/>
      </w:pPr>
      <w:r>
        <w:rPr/>
        <w:t xml:space="preserve">Log in as Finance Manager; create chart-of-accounts entries (e.g. Cash, Retained Earnings). </w:t>
      </w:r>
    </w:p>
    <w:p>
      <w:pPr>
        <w:pStyle w:val="BodyText"/>
        <w:numPr>
          <w:ilvl w:val="0"/>
          <w:numId w:val="7"/>
        </w:numPr>
        <w:tabs>
          <w:tab w:val="clear" w:pos="1134"/>
          <w:tab w:val="left" w:pos="709" w:leader="none"/>
        </w:tabs>
        <w:bidi w:val="0"/>
        <w:spacing w:before="0" w:after="0"/>
        <w:ind w:hanging="283" w:left="709"/>
        <w:jc w:val="left"/>
        <w:rPr/>
      </w:pPr>
      <w:r>
        <w:rPr/>
        <w:t xml:space="preserve">Create a financial period for the test company; save. </w:t>
      </w:r>
    </w:p>
    <w:p>
      <w:pPr>
        <w:pStyle w:val="BodyText"/>
        <w:numPr>
          <w:ilvl w:val="0"/>
          <w:numId w:val="7"/>
        </w:numPr>
        <w:tabs>
          <w:tab w:val="clear" w:pos="1134"/>
          <w:tab w:val="left" w:pos="709" w:leader="none"/>
        </w:tabs>
        <w:bidi w:val="0"/>
        <w:spacing w:before="0" w:after="0"/>
        <w:ind w:hanging="283" w:left="709"/>
        <w:jc w:val="left"/>
        <w:rPr/>
      </w:pPr>
      <w:r>
        <w:rPr/>
        <w:t xml:space="preserve">Create a balanced journal entry recording a test opening balance; post it. </w:t>
      </w:r>
      <w:r>
        <w:rPr>
          <w:i/>
        </w:rPr>
        <w:t>Expected: appears correctly in the general ledger.</w:t>
      </w:r>
      <w:r>
        <w:rPr/>
        <w:t xml:space="preserve"> </w:t>
      </w:r>
    </w:p>
    <w:p>
      <w:pPr>
        <w:pStyle w:val="BodyText"/>
        <w:numPr>
          <w:ilvl w:val="0"/>
          <w:numId w:val="7"/>
        </w:numPr>
        <w:tabs>
          <w:tab w:val="clear" w:pos="1134"/>
          <w:tab w:val="left" w:pos="709" w:leader="none"/>
        </w:tabs>
        <w:bidi w:val="0"/>
        <w:spacing w:before="0" w:after="0"/>
        <w:ind w:hanging="283" w:left="709"/>
        <w:jc w:val="left"/>
        <w:rPr/>
      </w:pPr>
      <w:r>
        <w:rPr/>
        <w:t xml:space="preserve">Attempt to create and post an </w:t>
      </w:r>
      <w:r>
        <w:rPr>
          <w:b/>
        </w:rPr>
        <w:t>unbalanced</w:t>
      </w:r>
      <w:r>
        <w:rPr/>
        <w:t xml:space="preserve"> journal entry. </w:t>
      </w:r>
      <w:r>
        <w:rPr>
          <w:i/>
        </w:rPr>
        <w:t>Expected: rejected, with a message that clearly explains debits and credits do not match.</w:t>
      </w:r>
      <w:r>
        <w:rPr/>
        <w:t xml:space="preserve"> </w:t>
      </w:r>
    </w:p>
    <w:p>
      <w:pPr>
        <w:pStyle w:val="BodyText"/>
        <w:numPr>
          <w:ilvl w:val="0"/>
          <w:numId w:val="7"/>
        </w:numPr>
        <w:tabs>
          <w:tab w:val="clear" w:pos="1134"/>
          <w:tab w:val="left" w:pos="709" w:leader="none"/>
        </w:tabs>
        <w:bidi w:val="0"/>
        <w:spacing w:before="0" w:after="0"/>
        <w:ind w:hanging="283" w:left="709"/>
        <w:jc w:val="left"/>
        <w:rPr/>
      </w:pPr>
      <w:r>
        <w:rPr/>
        <w:t xml:space="preserve">Generate a trial balance for the test company/period. </w:t>
      </w:r>
      <w:r>
        <w:rPr>
          <w:i/>
        </w:rPr>
        <w:t>Expected: total debits equal total credits.</w:t>
      </w:r>
      <w:r>
        <w:rPr/>
        <w:t xml:space="preserve"> </w:t>
      </w:r>
    </w:p>
    <w:p>
      <w:pPr>
        <w:pStyle w:val="BodyText"/>
        <w:numPr>
          <w:ilvl w:val="0"/>
          <w:numId w:val="7"/>
        </w:numPr>
        <w:tabs>
          <w:tab w:val="clear" w:pos="1134"/>
          <w:tab w:val="left" w:pos="709" w:leader="none"/>
        </w:tabs>
        <w:bidi w:val="0"/>
        <w:ind w:hanging="283" w:left="709"/>
        <w:jc w:val="left"/>
        <w:rPr/>
      </w:pPr>
      <w:r>
        <w:rPr/>
        <w:t xml:space="preserve">Close the financial period, then attempt to post a new entry into it. </w:t>
      </w:r>
      <w:r>
        <w:rPr>
          <w:i/>
        </w:rPr>
        <w:t>Expected: rejected, with a clear message that the period is closed.</w:t>
      </w:r>
      <w:r>
        <w:rPr/>
        <w:t xml:space="preserve"> </w:t>
      </w:r>
    </w:p>
    <w:p>
      <w:pPr>
        <w:pStyle w:val="BodyText"/>
        <w:bidi w:val="0"/>
        <w:spacing w:before="270" w:after="283"/>
        <w:ind w:hanging="0" w:left="0" w:right="0"/>
        <w:jc w:val="left"/>
        <w:rPr>
          <w:b/>
          <w:color w:val="FFFFFF"/>
          <w:sz w:val="24"/>
          <w:shd w:fill="1F3864" w:val="clear"/>
        </w:rPr>
      </w:pPr>
      <w:r>
        <w:rPr>
          <w:b/>
          <w:color w:val="FFFFFF"/>
          <w:sz w:val="24"/>
          <w:shd w:fill="1F3864" w:val="clear"/>
        </w:rPr>
        <w:t>UAT-06 — Audit Trail and Dashboard</w:t>
      </w:r>
    </w:p>
    <w:p>
      <w:pPr>
        <w:pStyle w:val="BodyText"/>
        <w:bidi w:val="0"/>
        <w:jc w:val="left"/>
        <w:rPr/>
      </w:pPr>
      <w:r>
        <w:rPr>
          <w:b/>
        </w:rPr>
        <w:t>Participant:</w:t>
      </w:r>
      <w:r>
        <w:rPr/>
        <w:t xml:space="preserve"> External Auditor (steps 1–2), Managing Director (steps 3–4)  |  </w:t>
      </w:r>
      <w:r>
        <w:rPr>
          <w:b/>
        </w:rPr>
        <w:t>Traces to:</w:t>
      </w:r>
      <w:r>
        <w:rPr/>
        <w:t xml:space="preserve"> AC-10, AC-11, FR-AUDIT-01–03, FR-DASH-01–04</w:t>
      </w:r>
    </w:p>
    <w:p>
      <w:pPr>
        <w:pStyle w:val="BodyText"/>
        <w:numPr>
          <w:ilvl w:val="0"/>
          <w:numId w:val="8"/>
        </w:numPr>
        <w:tabs>
          <w:tab w:val="clear" w:pos="1134"/>
          <w:tab w:val="left" w:pos="709" w:leader="none"/>
        </w:tabs>
        <w:bidi w:val="0"/>
        <w:spacing w:before="0" w:after="0"/>
        <w:ind w:hanging="283" w:left="709"/>
        <w:jc w:val="left"/>
        <w:rPr/>
      </w:pPr>
      <w:r>
        <w:rPr/>
        <w:t xml:space="preserve">Log in as Auditor; search the audit trail for actions performed during UAT-01 through UAT-05 by date range and user. </w:t>
      </w:r>
      <w:r>
        <w:rPr>
          <w:i/>
        </w:rPr>
        <w:t>Expected: every action appears, with correct timestamps and before/after values.</w:t>
      </w:r>
      <w:r>
        <w:rPr/>
        <w:t xml:space="preserve"> </w:t>
      </w:r>
    </w:p>
    <w:p>
      <w:pPr>
        <w:pStyle w:val="BodyText"/>
        <w:numPr>
          <w:ilvl w:val="0"/>
          <w:numId w:val="8"/>
        </w:numPr>
        <w:tabs>
          <w:tab w:val="clear" w:pos="1134"/>
          <w:tab w:val="left" w:pos="709" w:leader="none"/>
        </w:tabs>
        <w:bidi w:val="0"/>
        <w:spacing w:before="0" w:after="0"/>
        <w:ind w:hanging="283" w:left="709"/>
        <w:jc w:val="left"/>
        <w:rPr/>
      </w:pPr>
      <w:r>
        <w:rPr/>
        <w:t xml:space="preserve">Look for any way to edit or delete an audit log entry through the interface. </w:t>
      </w:r>
      <w:r>
        <w:rPr>
          <w:i/>
        </w:rPr>
        <w:t>Expected: no such option exists anywhere in the UI.</w:t>
      </w:r>
      <w:r>
        <w:rPr/>
        <w:t xml:space="preserve"> </w:t>
      </w:r>
    </w:p>
    <w:p>
      <w:pPr>
        <w:pStyle w:val="BodyText"/>
        <w:numPr>
          <w:ilvl w:val="0"/>
          <w:numId w:val="8"/>
        </w:numPr>
        <w:tabs>
          <w:tab w:val="clear" w:pos="1134"/>
          <w:tab w:val="left" w:pos="709" w:leader="none"/>
        </w:tabs>
        <w:bidi w:val="0"/>
        <w:spacing w:before="0" w:after="0"/>
        <w:ind w:hanging="283" w:left="709"/>
        <w:jc w:val="left"/>
        <w:rPr/>
      </w:pPr>
      <w:r>
        <w:rPr/>
        <w:t xml:space="preserve">Log in as Managing Director; view the Group dashboard. </w:t>
      </w:r>
      <w:r>
        <w:rPr>
          <w:i/>
        </w:rPr>
        <w:t>Expected: company/branch/employee/customer/supplier counts reflect the test data created in UAT-01 through UAT-04.</w:t>
      </w:r>
      <w:r>
        <w:rPr/>
        <w:t xml:space="preserve"> </w:t>
      </w:r>
    </w:p>
    <w:p>
      <w:pPr>
        <w:pStyle w:val="BodyText"/>
        <w:numPr>
          <w:ilvl w:val="0"/>
          <w:numId w:val="8"/>
        </w:numPr>
        <w:tabs>
          <w:tab w:val="clear" w:pos="1134"/>
          <w:tab w:val="left" w:pos="709" w:leader="none"/>
        </w:tabs>
        <w:bidi w:val="0"/>
        <w:ind w:hanging="283" w:left="709"/>
        <w:jc w:val="left"/>
        <w:rPr/>
      </w:pPr>
      <w:r>
        <w:rPr/>
        <w:t xml:space="preserve">View a subsidiary-scoped dashboard as the Branch Manager user created in UAT-01. </w:t>
      </w:r>
      <w:r>
        <w:rPr>
          <w:i/>
        </w:rPr>
        <w:t>Expected: only that subsidiary's data is visible, consistent with BR-01.</w:t>
      </w:r>
      <w:r>
        <w:rPr/>
        <w:t xml:space="preserve"> </w:t>
      </w:r>
    </w:p>
    <w:p>
      <w:pPr>
        <w:pStyle w:val="Heading2"/>
        <w:bidi w:val="0"/>
        <w:jc w:val="left"/>
        <w:rPr/>
      </w:pPr>
      <w:r>
        <w:rPr/>
        <w:t>8. Issue Logging and Triage</w:t>
      </w:r>
    </w:p>
    <w:p>
      <w:pPr>
        <w:pStyle w:val="BodyText"/>
        <w:numPr>
          <w:ilvl w:val="0"/>
          <w:numId w:val="9"/>
        </w:numPr>
        <w:tabs>
          <w:tab w:val="clear" w:pos="1134"/>
          <w:tab w:val="left" w:pos="709" w:leader="none"/>
        </w:tabs>
        <w:bidi w:val="0"/>
        <w:spacing w:before="0" w:after="0"/>
        <w:ind w:hanging="283" w:left="709"/>
        <w:jc w:val="left"/>
        <w:rPr/>
      </w:pPr>
      <w:r>
        <w:rPr/>
        <w:t xml:space="preserve">Participants log anything unexpected during their session, even if unsure whether it is a defect — the UAT Coordinator triages, not the participant. </w:t>
      </w:r>
    </w:p>
    <w:p>
      <w:pPr>
        <w:pStyle w:val="BodyText"/>
        <w:numPr>
          <w:ilvl w:val="0"/>
          <w:numId w:val="9"/>
        </w:numPr>
        <w:tabs>
          <w:tab w:val="clear" w:pos="1134"/>
          <w:tab w:val="left" w:pos="709" w:leader="none"/>
        </w:tabs>
        <w:bidi w:val="0"/>
        <w:spacing w:before="0" w:after="0"/>
        <w:ind w:hanging="283" w:left="709"/>
        <w:jc w:val="left"/>
        <w:rPr/>
      </w:pPr>
      <w:r>
        <w:rPr/>
        <w:t xml:space="preserve">Issues are severity-classified using the same scale as 10_Test Plan, Section 9 (Critical/High/Medium/Low), so defects found in UAT flow into the same fix process as those found earlier. </w:t>
      </w:r>
    </w:p>
    <w:p>
      <w:pPr>
        <w:pStyle w:val="BodyText"/>
        <w:numPr>
          <w:ilvl w:val="0"/>
          <w:numId w:val="9"/>
        </w:numPr>
        <w:tabs>
          <w:tab w:val="clear" w:pos="1134"/>
          <w:tab w:val="left" w:pos="709" w:leader="none"/>
        </w:tabs>
        <w:bidi w:val="0"/>
        <w:spacing w:before="0" w:after="0"/>
        <w:ind w:hanging="283" w:left="709"/>
        <w:jc w:val="left"/>
        <w:rPr/>
      </w:pPr>
      <w:r>
        <w:rPr/>
        <w:t xml:space="preserve">A Critical or High issue found in one participant's scenario pauses that scenario's sign-off but does not block other scenarios from proceeding in parallel, unless the issue is systemic (e.g. affects login for everyone). </w:t>
      </w:r>
    </w:p>
    <w:p>
      <w:pPr>
        <w:pStyle w:val="BodyText"/>
        <w:numPr>
          <w:ilvl w:val="0"/>
          <w:numId w:val="9"/>
        </w:numPr>
        <w:tabs>
          <w:tab w:val="clear" w:pos="1134"/>
          <w:tab w:val="left" w:pos="709" w:leader="none"/>
        </w:tabs>
        <w:bidi w:val="0"/>
        <w:ind w:hanging="283" w:left="709"/>
        <w:jc w:val="left"/>
        <w:rPr/>
      </w:pPr>
      <w:r>
        <w:rPr/>
        <w:t xml:space="preserve">Fixed issues are re-tested by the same participant who found them before that scenario is signed off, not merely confirmed fixed by the developer. </w:t>
      </w:r>
    </w:p>
    <w:p>
      <w:pPr>
        <w:pStyle w:val="Heading2"/>
        <w:bidi w:val="0"/>
        <w:jc w:val="left"/>
        <w:rPr/>
      </w:pPr>
      <w:r>
        <w:rPr/>
        <w:t>9. Exit Criteria and Sign-off</w:t>
      </w:r>
    </w:p>
    <w:tbl>
      <w:tblPr>
        <w:tblW w:w="11339" w:type="dxa"/>
        <w:jc w:val="left"/>
        <w:tblInd w:w="28" w:type="dxa"/>
        <w:tblLayout w:type="fixed"/>
        <w:tblCellMar>
          <w:top w:w="28" w:type="dxa"/>
          <w:left w:w="28" w:type="dxa"/>
          <w:bottom w:w="28" w:type="dxa"/>
          <w:right w:w="28" w:type="dxa"/>
        </w:tblCellMar>
      </w:tblPr>
      <w:tblGrid>
        <w:gridCol w:w="2240"/>
        <w:gridCol w:w="9099"/>
      </w:tblGrid>
      <w:tr>
        <w:trPr/>
        <w:tc>
          <w:tcPr>
            <w:tcW w:w="2240" w:type="dxa"/>
            <w:tcBorders/>
            <w:vAlign w:val="center"/>
          </w:tcPr>
          <w:p>
            <w:pPr>
              <w:pStyle w:val="TableHeading"/>
              <w:suppressLineNumbers/>
              <w:shd w:fill="1F3864" w:val="clear"/>
              <w:bidi w:val="0"/>
              <w:spacing w:before="0" w:after="283"/>
              <w:jc w:val="left"/>
              <w:rPr/>
            </w:pPr>
            <w:r>
              <w:rPr/>
              <w:t>Requirement</w:t>
            </w:r>
          </w:p>
        </w:tc>
        <w:tc>
          <w:tcPr>
            <w:tcW w:w="9099" w:type="dxa"/>
            <w:tcBorders/>
            <w:vAlign w:val="center"/>
          </w:tcPr>
          <w:p>
            <w:pPr>
              <w:pStyle w:val="TableHeading"/>
              <w:suppressLineNumbers/>
              <w:shd w:fill="1F3864" w:val="clear"/>
              <w:bidi w:val="0"/>
              <w:spacing w:before="0" w:after="283"/>
              <w:jc w:val="left"/>
              <w:rPr/>
            </w:pPr>
            <w:r>
              <w:rPr/>
              <w:t>Detail</w:t>
            </w:r>
          </w:p>
        </w:tc>
      </w:tr>
      <w:tr>
        <w:trPr/>
        <w:tc>
          <w:tcPr>
            <w:tcW w:w="2240" w:type="dxa"/>
            <w:tcBorders/>
            <w:vAlign w:val="center"/>
          </w:tcPr>
          <w:p>
            <w:pPr>
              <w:pStyle w:val="TableContents"/>
              <w:bidi w:val="0"/>
              <w:spacing w:before="0" w:after="283"/>
              <w:jc w:val="left"/>
              <w:rPr/>
            </w:pPr>
            <w:r>
              <w:rPr/>
              <w:t>All six scenarios executed</w:t>
            </w:r>
          </w:p>
        </w:tc>
        <w:tc>
          <w:tcPr>
            <w:tcW w:w="9099" w:type="dxa"/>
            <w:tcBorders/>
            <w:vAlign w:val="center"/>
          </w:tcPr>
          <w:p>
            <w:pPr>
              <w:pStyle w:val="TableContents"/>
              <w:bidi w:val="0"/>
              <w:spacing w:before="0" w:after="283"/>
              <w:jc w:val="left"/>
              <w:rPr/>
            </w:pPr>
            <w:r>
              <w:rPr/>
              <w:t>Every step in Section 7 completed, with actual result recorded against expected result</w:t>
            </w:r>
          </w:p>
        </w:tc>
      </w:tr>
      <w:tr>
        <w:trPr/>
        <w:tc>
          <w:tcPr>
            <w:tcW w:w="2240" w:type="dxa"/>
            <w:tcBorders/>
            <w:vAlign w:val="center"/>
          </w:tcPr>
          <w:p>
            <w:pPr>
              <w:pStyle w:val="TableContents"/>
              <w:bidi w:val="0"/>
              <w:spacing w:before="0" w:after="283"/>
              <w:jc w:val="left"/>
              <w:rPr/>
            </w:pPr>
            <w:r>
              <w:rPr/>
              <w:t>No open Critical/High issues</w:t>
            </w:r>
          </w:p>
        </w:tc>
        <w:tc>
          <w:tcPr>
            <w:tcW w:w="9099" w:type="dxa"/>
            <w:tcBorders/>
            <w:vAlign w:val="center"/>
          </w:tcPr>
          <w:p>
            <w:pPr>
              <w:pStyle w:val="TableContents"/>
              <w:bidi w:val="0"/>
              <w:spacing w:before="0" w:after="283"/>
              <w:jc w:val="left"/>
              <w:rPr/>
            </w:pPr>
            <w:r>
              <w:rPr/>
              <w:t>Per 10_Test Plan, Section 5 (UAT exit criteria)</w:t>
            </w:r>
          </w:p>
        </w:tc>
      </w:tr>
      <w:tr>
        <w:trPr/>
        <w:tc>
          <w:tcPr>
            <w:tcW w:w="2240" w:type="dxa"/>
            <w:tcBorders/>
            <w:vAlign w:val="center"/>
          </w:tcPr>
          <w:p>
            <w:pPr>
              <w:pStyle w:val="TableContents"/>
              <w:bidi w:val="0"/>
              <w:spacing w:before="0" w:after="283"/>
              <w:jc w:val="left"/>
              <w:rPr/>
            </w:pPr>
            <w:r>
              <w:rPr/>
              <w:t>Per-scenario sign-off obtained</w:t>
            </w:r>
          </w:p>
        </w:tc>
        <w:tc>
          <w:tcPr>
            <w:tcW w:w="9099" w:type="dxa"/>
            <w:tcBorders/>
            <w:vAlign w:val="center"/>
          </w:tcPr>
          <w:p>
            <w:pPr>
              <w:pStyle w:val="TableContents"/>
              <w:bidi w:val="0"/>
              <w:spacing w:before="0" w:after="283"/>
              <w:jc w:val="left"/>
              <w:rPr/>
            </w:pPr>
            <w:r>
              <w:rPr/>
              <w:t>Each participant in Section 4 signs the form in Section 10 for their scenario</w:t>
            </w:r>
          </w:p>
        </w:tc>
      </w:tr>
      <w:tr>
        <w:trPr/>
        <w:tc>
          <w:tcPr>
            <w:tcW w:w="2240" w:type="dxa"/>
            <w:tcBorders/>
            <w:vAlign w:val="center"/>
          </w:tcPr>
          <w:p>
            <w:pPr>
              <w:pStyle w:val="TableContents"/>
              <w:bidi w:val="0"/>
              <w:spacing w:before="0" w:after="283"/>
              <w:jc w:val="left"/>
              <w:rPr/>
            </w:pPr>
            <w:r>
              <w:rPr/>
              <w:t>Overall UAT sign-off</w:t>
            </w:r>
          </w:p>
        </w:tc>
        <w:tc>
          <w:tcPr>
            <w:tcW w:w="9099" w:type="dxa"/>
            <w:tcBorders/>
            <w:vAlign w:val="center"/>
          </w:tcPr>
          <w:p>
            <w:pPr>
              <w:pStyle w:val="TableContents"/>
              <w:bidi w:val="0"/>
              <w:spacing w:before="0" w:after="283"/>
              <w:jc w:val="left"/>
              <w:rPr/>
            </w:pPr>
            <w:r>
              <w:rPr/>
              <w:t>UAT Coordinator consolidates all six sign-offs and confirms to the Managing Director that Phase 1 is ready for the go-live rollout (11_Deployment Plan, Section 8)</w:t>
            </w:r>
          </w:p>
        </w:tc>
      </w:tr>
    </w:tbl>
    <w:p>
      <w:pPr>
        <w:pStyle w:val="Heading2"/>
        <w:bidi w:val="0"/>
        <w:jc w:val="left"/>
        <w:rPr/>
      </w:pPr>
      <w:r>
        <w:rPr/>
        <w:t>10. UAT Sign-off Form (Template — One per Scenario)</w:t>
      </w:r>
    </w:p>
    <w:tbl>
      <w:tblPr>
        <w:tblW w:w="10832" w:type="dxa"/>
        <w:jc w:val="left"/>
        <w:tblInd w:w="178" w:type="dxa"/>
        <w:tblLayout w:type="fixed"/>
        <w:tblCellMar>
          <w:top w:w="28" w:type="dxa"/>
          <w:left w:w="28" w:type="dxa"/>
          <w:bottom w:w="28" w:type="dxa"/>
          <w:right w:w="28" w:type="dxa"/>
        </w:tblCellMar>
      </w:tblPr>
      <w:tblGrid>
        <w:gridCol w:w="3321"/>
        <w:gridCol w:w="3773"/>
        <w:gridCol w:w="1040"/>
        <w:gridCol w:w="2698"/>
      </w:tblGrid>
      <w:tr>
        <w:trPr/>
        <w:tc>
          <w:tcPr>
            <w:tcW w:w="3321" w:type="dxa"/>
            <w:tcBorders/>
            <w:vAlign w:val="center"/>
          </w:tcPr>
          <w:p>
            <w:pPr>
              <w:pStyle w:val="TableContents"/>
              <w:bidi w:val="0"/>
              <w:spacing w:before="0" w:after="283"/>
              <w:jc w:val="left"/>
              <w:rPr>
                <w:b/>
              </w:rPr>
            </w:pPr>
            <w:r>
              <w:rPr>
                <w:b/>
              </w:rPr>
              <w:t>Scenario ID / Name:</w:t>
            </w:r>
          </w:p>
        </w:tc>
        <w:tc>
          <w:tcPr>
            <w:tcW w:w="3773" w:type="dxa"/>
            <w:tcBorders/>
            <w:vAlign w:val="center"/>
          </w:tcPr>
          <w:p>
            <w:pPr>
              <w:pStyle w:val="TableContents"/>
              <w:bidi w:val="0"/>
              <w:spacing w:before="0" w:after="283"/>
              <w:jc w:val="left"/>
              <w:rPr/>
            </w:pPr>
            <w:r>
              <w:rPr/>
              <w:t>_________________________</w:t>
            </w:r>
          </w:p>
        </w:tc>
        <w:tc>
          <w:tcPr>
            <w:tcW w:w="1040" w:type="dxa"/>
            <w:tcBorders/>
            <w:vAlign w:val="center"/>
          </w:tcPr>
          <w:p>
            <w:pPr>
              <w:pStyle w:val="TableContents"/>
              <w:bidi w:val="0"/>
              <w:spacing w:before="0" w:after="283"/>
              <w:jc w:val="left"/>
              <w:rPr>
                <w:b/>
              </w:rPr>
            </w:pPr>
            <w:r>
              <w:rPr>
                <w:b/>
              </w:rPr>
              <w:t>Date:</w:t>
            </w:r>
          </w:p>
        </w:tc>
        <w:tc>
          <w:tcPr>
            <w:tcW w:w="2698" w:type="dxa"/>
            <w:tcBorders/>
            <w:vAlign w:val="center"/>
          </w:tcPr>
          <w:p>
            <w:pPr>
              <w:pStyle w:val="TableContents"/>
              <w:bidi w:val="0"/>
              <w:spacing w:before="0" w:after="283"/>
              <w:jc w:val="left"/>
              <w:rPr/>
            </w:pPr>
            <w:r>
              <w:rPr/>
              <w:t>_________________</w:t>
            </w:r>
          </w:p>
        </w:tc>
      </w:tr>
      <w:tr>
        <w:trPr/>
        <w:tc>
          <w:tcPr>
            <w:tcW w:w="3321" w:type="dxa"/>
            <w:tcBorders/>
            <w:vAlign w:val="center"/>
          </w:tcPr>
          <w:p>
            <w:pPr>
              <w:pStyle w:val="TableContents"/>
              <w:bidi w:val="0"/>
              <w:spacing w:before="0" w:after="283"/>
              <w:jc w:val="left"/>
              <w:rPr>
                <w:b/>
              </w:rPr>
            </w:pPr>
            <w:r>
              <w:rPr>
                <w:b/>
              </w:rPr>
              <w:t>Participant Name:</w:t>
            </w:r>
          </w:p>
        </w:tc>
        <w:tc>
          <w:tcPr>
            <w:tcW w:w="7511" w:type="dxa"/>
            <w:gridSpan w:val="3"/>
            <w:tcBorders/>
            <w:vAlign w:val="center"/>
          </w:tcPr>
          <w:p>
            <w:pPr>
              <w:pStyle w:val="TableContents"/>
              <w:bidi w:val="0"/>
              <w:spacing w:before="0" w:after="283"/>
              <w:jc w:val="left"/>
              <w:rPr/>
            </w:pPr>
            <w:r>
              <w:rPr/>
              <w:t>_________________________________________</w:t>
            </w:r>
          </w:p>
        </w:tc>
      </w:tr>
      <w:tr>
        <w:trPr/>
        <w:tc>
          <w:tcPr>
            <w:tcW w:w="3321" w:type="dxa"/>
            <w:tcBorders/>
            <w:vAlign w:val="center"/>
          </w:tcPr>
          <w:p>
            <w:pPr>
              <w:pStyle w:val="TableContents"/>
              <w:bidi w:val="0"/>
              <w:spacing w:before="0" w:after="283"/>
              <w:jc w:val="left"/>
              <w:rPr>
                <w:b/>
              </w:rPr>
            </w:pPr>
            <w:r>
              <w:rPr>
                <w:b/>
              </w:rPr>
              <w:t>Role:</w:t>
            </w:r>
          </w:p>
        </w:tc>
        <w:tc>
          <w:tcPr>
            <w:tcW w:w="7511" w:type="dxa"/>
            <w:gridSpan w:val="3"/>
            <w:tcBorders/>
            <w:vAlign w:val="center"/>
          </w:tcPr>
          <w:p>
            <w:pPr>
              <w:pStyle w:val="TableContents"/>
              <w:bidi w:val="0"/>
              <w:spacing w:before="0" w:after="283"/>
              <w:jc w:val="left"/>
              <w:rPr/>
            </w:pPr>
            <w:r>
              <w:rPr/>
              <w:t>_________________________________________</w:t>
            </w:r>
          </w:p>
        </w:tc>
      </w:tr>
      <w:tr>
        <w:trPr/>
        <w:tc>
          <w:tcPr>
            <w:tcW w:w="3321" w:type="dxa"/>
            <w:tcBorders/>
            <w:vAlign w:val="center"/>
          </w:tcPr>
          <w:p>
            <w:pPr>
              <w:pStyle w:val="TableContents"/>
              <w:bidi w:val="0"/>
              <w:spacing w:before="0" w:after="283"/>
              <w:jc w:val="left"/>
              <w:rPr>
                <w:b/>
              </w:rPr>
            </w:pPr>
            <w:r>
              <w:rPr>
                <w:b/>
              </w:rPr>
              <w:t>All steps completed as expected?</w:t>
            </w:r>
          </w:p>
        </w:tc>
        <w:tc>
          <w:tcPr>
            <w:tcW w:w="7511" w:type="dxa"/>
            <w:gridSpan w:val="3"/>
            <w:tcBorders/>
            <w:vAlign w:val="center"/>
          </w:tcPr>
          <w:p>
            <w:pPr>
              <w:pStyle w:val="TableContents"/>
              <w:bidi w:val="0"/>
              <w:spacing w:before="0" w:after="283"/>
              <w:jc w:val="left"/>
              <w:rPr/>
            </w:pPr>
            <w:r>
              <w:rPr/>
              <w:t xml:space="preserve">☐ </w:t>
            </w:r>
            <w:r>
              <w:rPr/>
              <w:t>Yes    ☐ No — see issues logged</w:t>
            </w:r>
          </w:p>
        </w:tc>
      </w:tr>
      <w:tr>
        <w:trPr/>
        <w:tc>
          <w:tcPr>
            <w:tcW w:w="3321" w:type="dxa"/>
            <w:tcBorders/>
            <w:vAlign w:val="center"/>
          </w:tcPr>
          <w:p>
            <w:pPr>
              <w:pStyle w:val="TableContents"/>
              <w:bidi w:val="0"/>
              <w:spacing w:before="0" w:after="283"/>
              <w:jc w:val="left"/>
              <w:rPr>
                <w:b/>
              </w:rPr>
            </w:pPr>
            <w:r>
              <w:rPr>
                <w:b/>
              </w:rPr>
              <w:t>Issues logged (IDs):</w:t>
            </w:r>
          </w:p>
        </w:tc>
        <w:tc>
          <w:tcPr>
            <w:tcW w:w="7511" w:type="dxa"/>
            <w:gridSpan w:val="3"/>
            <w:tcBorders/>
            <w:vAlign w:val="center"/>
          </w:tcPr>
          <w:p>
            <w:pPr>
              <w:pStyle w:val="TableContents"/>
              <w:bidi w:val="0"/>
              <w:spacing w:before="0" w:after="283"/>
              <w:jc w:val="left"/>
              <w:rPr/>
            </w:pPr>
            <w:r>
              <w:rPr/>
              <w:t>_________________________________________</w:t>
            </w:r>
          </w:p>
        </w:tc>
      </w:tr>
      <w:tr>
        <w:trPr/>
        <w:tc>
          <w:tcPr>
            <w:tcW w:w="3321" w:type="dxa"/>
            <w:tcBorders/>
            <w:vAlign w:val="center"/>
          </w:tcPr>
          <w:p>
            <w:pPr>
              <w:pStyle w:val="TableContents"/>
              <w:bidi w:val="0"/>
              <w:spacing w:before="0" w:after="283"/>
              <w:jc w:val="left"/>
              <w:rPr>
                <w:b/>
              </w:rPr>
            </w:pPr>
            <w:r>
              <w:rPr>
                <w:b/>
              </w:rPr>
              <w:t>Comments:</w:t>
            </w:r>
          </w:p>
        </w:tc>
        <w:tc>
          <w:tcPr>
            <w:tcW w:w="7511" w:type="dxa"/>
            <w:gridSpan w:val="3"/>
            <w:tcBorders/>
            <w:vAlign w:val="center"/>
          </w:tcPr>
          <w:p>
            <w:pPr>
              <w:pStyle w:val="TableContents"/>
              <w:bidi w:val="0"/>
              <w:spacing w:before="0" w:after="283"/>
              <w:jc w:val="left"/>
              <w:rPr/>
            </w:pPr>
            <w:r>
              <w:rPr/>
              <w:t>_________________________________________</w:t>
            </w:r>
          </w:p>
        </w:tc>
      </w:tr>
      <w:tr>
        <w:trPr/>
        <w:tc>
          <w:tcPr>
            <w:tcW w:w="3321" w:type="dxa"/>
            <w:tcBorders/>
            <w:vAlign w:val="center"/>
          </w:tcPr>
          <w:p>
            <w:pPr>
              <w:pStyle w:val="TableContents"/>
              <w:bidi w:val="0"/>
              <w:spacing w:before="0" w:after="283"/>
              <w:jc w:val="left"/>
              <w:rPr>
                <w:b/>
              </w:rPr>
            </w:pPr>
            <w:r>
              <w:rPr>
                <w:b/>
              </w:rPr>
              <w:t>Sign-off:</w:t>
            </w:r>
          </w:p>
        </w:tc>
        <w:tc>
          <w:tcPr>
            <w:tcW w:w="7511" w:type="dxa"/>
            <w:gridSpan w:val="3"/>
            <w:tcBorders/>
            <w:vAlign w:val="center"/>
          </w:tcPr>
          <w:p>
            <w:pPr>
              <w:pStyle w:val="TableContents"/>
              <w:bidi w:val="0"/>
              <w:spacing w:before="0" w:after="283"/>
              <w:jc w:val="left"/>
              <w:rPr/>
            </w:pPr>
            <w:r>
              <w:rPr/>
              <w:t>I confirm this scenario meets my department's needs and functions as expected.</w:t>
              <w:br/>
              <w:br/>
              <w:t>Signature: ___________________________</w:t>
            </w:r>
          </w:p>
        </w:tc>
      </w:tr>
    </w:tbl>
    <w:p>
      <w:pPr>
        <w:pStyle w:val="Heading2"/>
        <w:bidi w:val="0"/>
        <w:jc w:val="left"/>
        <w:rPr/>
      </w:pPr>
      <w:r>
        <w:rPr/>
        <w:t>11. Roles and Responsibilities</w:t>
      </w:r>
    </w:p>
    <w:tbl>
      <w:tblPr>
        <w:tblW w:w="11339" w:type="dxa"/>
        <w:jc w:val="left"/>
        <w:tblInd w:w="28" w:type="dxa"/>
        <w:tblLayout w:type="fixed"/>
        <w:tblCellMar>
          <w:top w:w="28" w:type="dxa"/>
          <w:left w:w="28" w:type="dxa"/>
          <w:bottom w:w="28" w:type="dxa"/>
          <w:right w:w="28" w:type="dxa"/>
        </w:tblCellMar>
      </w:tblPr>
      <w:tblGrid>
        <w:gridCol w:w="3299"/>
        <w:gridCol w:w="8040"/>
      </w:tblGrid>
      <w:tr>
        <w:trPr/>
        <w:tc>
          <w:tcPr>
            <w:tcW w:w="3299" w:type="dxa"/>
            <w:tcBorders/>
            <w:vAlign w:val="center"/>
          </w:tcPr>
          <w:p>
            <w:pPr>
              <w:pStyle w:val="TableHeading"/>
              <w:suppressLineNumbers/>
              <w:shd w:fill="1F3864" w:val="clear"/>
              <w:bidi w:val="0"/>
              <w:spacing w:before="0" w:after="283"/>
              <w:jc w:val="left"/>
              <w:rPr/>
            </w:pPr>
            <w:r>
              <w:rPr/>
              <w:t>Role</w:t>
            </w:r>
          </w:p>
        </w:tc>
        <w:tc>
          <w:tcPr>
            <w:tcW w:w="8040" w:type="dxa"/>
            <w:tcBorders/>
            <w:vAlign w:val="center"/>
          </w:tcPr>
          <w:p>
            <w:pPr>
              <w:pStyle w:val="TableHeading"/>
              <w:suppressLineNumbers/>
              <w:shd w:fill="1F3864" w:val="clear"/>
              <w:bidi w:val="0"/>
              <w:spacing w:before="0" w:after="283"/>
              <w:jc w:val="left"/>
              <w:rPr/>
            </w:pPr>
            <w:r>
              <w:rPr/>
              <w:t>Responsibility</w:t>
            </w:r>
          </w:p>
        </w:tc>
      </w:tr>
      <w:tr>
        <w:trPr/>
        <w:tc>
          <w:tcPr>
            <w:tcW w:w="3299" w:type="dxa"/>
            <w:tcBorders/>
            <w:vAlign w:val="center"/>
          </w:tcPr>
          <w:p>
            <w:pPr>
              <w:pStyle w:val="TableContents"/>
              <w:bidi w:val="0"/>
              <w:spacing w:before="0" w:after="283"/>
              <w:jc w:val="left"/>
              <w:rPr/>
            </w:pPr>
            <w:r>
              <w:rPr/>
              <w:t>UAT Coordinator (IT Administrator + Director)</w:t>
            </w:r>
          </w:p>
        </w:tc>
        <w:tc>
          <w:tcPr>
            <w:tcW w:w="8040" w:type="dxa"/>
            <w:tcBorders/>
            <w:vAlign w:val="center"/>
          </w:tcPr>
          <w:p>
            <w:pPr>
              <w:pStyle w:val="TableContents"/>
              <w:bidi w:val="0"/>
              <w:spacing w:before="0" w:after="283"/>
              <w:jc w:val="left"/>
              <w:rPr/>
            </w:pPr>
            <w:r>
              <w:rPr/>
              <w:t>Schedule sessions, provision accounts/data, triage issues, consolidate sign-offs</w:t>
            </w:r>
          </w:p>
        </w:tc>
      </w:tr>
      <w:tr>
        <w:trPr/>
        <w:tc>
          <w:tcPr>
            <w:tcW w:w="3299" w:type="dxa"/>
            <w:tcBorders/>
            <w:vAlign w:val="center"/>
          </w:tcPr>
          <w:p>
            <w:pPr>
              <w:pStyle w:val="TableContents"/>
              <w:bidi w:val="0"/>
              <w:spacing w:before="0" w:after="283"/>
              <w:jc w:val="left"/>
              <w:rPr/>
            </w:pPr>
            <w:r>
              <w:rPr/>
              <w:t>Participants (Section 4)</w:t>
            </w:r>
          </w:p>
        </w:tc>
        <w:tc>
          <w:tcPr>
            <w:tcW w:w="8040" w:type="dxa"/>
            <w:tcBorders/>
            <w:vAlign w:val="center"/>
          </w:tcPr>
          <w:p>
            <w:pPr>
              <w:pStyle w:val="TableContents"/>
              <w:bidi w:val="0"/>
              <w:spacing w:before="0" w:after="283"/>
              <w:jc w:val="left"/>
              <w:rPr/>
            </w:pPr>
            <w:r>
              <w:rPr/>
              <w:t>Execute their scenario(s), log issues honestly (including "this is confusing," not only "this is broken"), sign off when satisfied</w:t>
            </w:r>
          </w:p>
        </w:tc>
      </w:tr>
      <w:tr>
        <w:trPr/>
        <w:tc>
          <w:tcPr>
            <w:tcW w:w="3299" w:type="dxa"/>
            <w:tcBorders/>
            <w:vAlign w:val="center"/>
          </w:tcPr>
          <w:p>
            <w:pPr>
              <w:pStyle w:val="TableContents"/>
              <w:bidi w:val="0"/>
              <w:spacing w:before="0" w:after="283"/>
              <w:jc w:val="left"/>
              <w:rPr/>
            </w:pPr>
            <w:r>
              <w:rPr/>
              <w:t>Development team</w:t>
            </w:r>
          </w:p>
        </w:tc>
        <w:tc>
          <w:tcPr>
            <w:tcW w:w="8040" w:type="dxa"/>
            <w:tcBorders/>
            <w:vAlign w:val="center"/>
          </w:tcPr>
          <w:p>
            <w:pPr>
              <w:pStyle w:val="TableContents"/>
              <w:bidi w:val="0"/>
              <w:spacing w:before="0" w:after="283"/>
              <w:jc w:val="left"/>
              <w:rPr/>
            </w:pPr>
            <w:r>
              <w:rPr/>
              <w:t>On-call during UAT sessions to answer questions and triage reported issues in real time where possible</w:t>
            </w:r>
          </w:p>
        </w:tc>
      </w:tr>
      <w:tr>
        <w:trPr/>
        <w:tc>
          <w:tcPr>
            <w:tcW w:w="3299" w:type="dxa"/>
            <w:tcBorders/>
            <w:vAlign w:val="center"/>
          </w:tcPr>
          <w:p>
            <w:pPr>
              <w:pStyle w:val="TableContents"/>
              <w:bidi w:val="0"/>
              <w:spacing w:before="0" w:after="283"/>
              <w:jc w:val="left"/>
              <w:rPr/>
            </w:pPr>
            <w:r>
              <w:rPr/>
              <w:t>Managing Director</w:t>
            </w:r>
          </w:p>
        </w:tc>
        <w:tc>
          <w:tcPr>
            <w:tcW w:w="8040" w:type="dxa"/>
            <w:tcBorders/>
            <w:vAlign w:val="center"/>
          </w:tcPr>
          <w:p>
            <w:pPr>
              <w:pStyle w:val="TableContents"/>
              <w:bidi w:val="0"/>
              <w:spacing w:before="0" w:after="283"/>
              <w:jc w:val="left"/>
              <w:rPr/>
            </w:pPr>
            <w:r>
              <w:rPr/>
              <w:t>Receives the consolidated sign-off and authorizes proceeding to go-live rollout</w:t>
            </w:r>
          </w:p>
        </w:tc>
      </w:tr>
    </w:tbl>
    <w:p>
      <w:pPr>
        <w:pStyle w:val="Heading2"/>
        <w:bidi w:val="0"/>
        <w:jc w:val="left"/>
        <w:rPr/>
      </w:pPr>
      <w:r>
        <w:rPr/>
        <w:t>12. Risks to UAT</w:t>
      </w:r>
    </w:p>
    <w:tbl>
      <w:tblPr>
        <w:tblW w:w="11339" w:type="dxa"/>
        <w:jc w:val="left"/>
        <w:tblInd w:w="28" w:type="dxa"/>
        <w:tblLayout w:type="fixed"/>
        <w:tblCellMar>
          <w:top w:w="28" w:type="dxa"/>
          <w:left w:w="28" w:type="dxa"/>
          <w:bottom w:w="28" w:type="dxa"/>
          <w:right w:w="28" w:type="dxa"/>
        </w:tblCellMar>
      </w:tblPr>
      <w:tblGrid>
        <w:gridCol w:w="4910"/>
        <w:gridCol w:w="6429"/>
      </w:tblGrid>
      <w:tr>
        <w:trPr/>
        <w:tc>
          <w:tcPr>
            <w:tcW w:w="4910" w:type="dxa"/>
            <w:tcBorders/>
            <w:vAlign w:val="center"/>
          </w:tcPr>
          <w:p>
            <w:pPr>
              <w:pStyle w:val="TableHeading"/>
              <w:suppressLineNumbers/>
              <w:shd w:fill="1F3864" w:val="clear"/>
              <w:bidi w:val="0"/>
              <w:spacing w:before="0" w:after="283"/>
              <w:jc w:val="left"/>
              <w:rPr/>
            </w:pPr>
            <w:r>
              <w:rPr/>
              <w:t>Risk</w:t>
            </w:r>
          </w:p>
        </w:tc>
        <w:tc>
          <w:tcPr>
            <w:tcW w:w="6429" w:type="dxa"/>
            <w:tcBorders/>
            <w:vAlign w:val="center"/>
          </w:tcPr>
          <w:p>
            <w:pPr>
              <w:pStyle w:val="TableHeading"/>
              <w:suppressLineNumbers/>
              <w:shd w:fill="1F3864" w:val="clear"/>
              <w:bidi w:val="0"/>
              <w:spacing w:before="0" w:after="283"/>
              <w:jc w:val="left"/>
              <w:rPr/>
            </w:pPr>
            <w:r>
              <w:rPr/>
              <w:t>Mitigation</w:t>
            </w:r>
          </w:p>
        </w:tc>
      </w:tr>
      <w:tr>
        <w:trPr/>
        <w:tc>
          <w:tcPr>
            <w:tcW w:w="4910" w:type="dxa"/>
            <w:tcBorders/>
            <w:vAlign w:val="center"/>
          </w:tcPr>
          <w:p>
            <w:pPr>
              <w:pStyle w:val="TableContents"/>
              <w:bidi w:val="0"/>
              <w:spacing w:before="0" w:after="283"/>
              <w:jc w:val="left"/>
              <w:rPr/>
            </w:pPr>
            <w:r>
              <w:rPr/>
              <w:t>Participants are unavailable during their scheduled Sprint 8 window (competing operational duties)</w:t>
            </w:r>
          </w:p>
        </w:tc>
        <w:tc>
          <w:tcPr>
            <w:tcW w:w="6429" w:type="dxa"/>
            <w:tcBorders/>
            <w:vAlign w:val="center"/>
          </w:tcPr>
          <w:p>
            <w:pPr>
              <w:pStyle w:val="TableContents"/>
              <w:bidi w:val="0"/>
              <w:spacing w:before="0" w:after="283"/>
              <w:jc w:val="left"/>
              <w:rPr/>
            </w:pPr>
            <w:r>
              <w:rPr/>
              <w:t>UAT Coordinator to confirm participant availability at least two weeks ahead, per 10_Test Plan Section 6 schedule</w:t>
            </w:r>
          </w:p>
        </w:tc>
      </w:tr>
      <w:tr>
        <w:trPr/>
        <w:tc>
          <w:tcPr>
            <w:tcW w:w="4910" w:type="dxa"/>
            <w:tcBorders/>
            <w:vAlign w:val="center"/>
          </w:tcPr>
          <w:p>
            <w:pPr>
              <w:pStyle w:val="TableContents"/>
              <w:bidi w:val="0"/>
              <w:spacing w:before="0" w:after="283"/>
              <w:jc w:val="left"/>
              <w:rPr/>
            </w:pPr>
            <w:r>
              <w:rPr/>
              <w:t>Participants under-report issues because they are unsure if something is "supposed" to work that way</w:t>
            </w:r>
          </w:p>
        </w:tc>
        <w:tc>
          <w:tcPr>
            <w:tcW w:w="6429" w:type="dxa"/>
            <w:tcBorders/>
            <w:vAlign w:val="center"/>
          </w:tcPr>
          <w:p>
            <w:pPr>
              <w:pStyle w:val="TableContents"/>
              <w:bidi w:val="0"/>
              <w:spacing w:before="0" w:after="283"/>
              <w:jc w:val="left"/>
              <w:rPr/>
            </w:pPr>
            <w:r>
              <w:rPr/>
              <w:t>Explicit instruction in Section 8: log anything unexpected, let the Coordinator triage</w:t>
            </w:r>
          </w:p>
        </w:tc>
      </w:tr>
      <w:tr>
        <w:trPr/>
        <w:tc>
          <w:tcPr>
            <w:tcW w:w="4910" w:type="dxa"/>
            <w:tcBorders/>
            <w:vAlign w:val="center"/>
          </w:tcPr>
          <w:p>
            <w:pPr>
              <w:pStyle w:val="TableContents"/>
              <w:bidi w:val="0"/>
              <w:spacing w:before="0" w:after="283"/>
              <w:jc w:val="left"/>
              <w:rPr/>
            </w:pPr>
            <w:r>
              <w:rPr/>
              <w:t>UAT test data accidentally resembles real Group data closely enough to cause confusion</w:t>
            </w:r>
          </w:p>
        </w:tc>
        <w:tc>
          <w:tcPr>
            <w:tcW w:w="6429" w:type="dxa"/>
            <w:tcBorders/>
            <w:vAlign w:val="center"/>
          </w:tcPr>
          <w:p>
            <w:pPr>
              <w:pStyle w:val="TableContents"/>
              <w:bidi w:val="0"/>
              <w:spacing w:before="0" w:after="283"/>
              <w:jc w:val="left"/>
              <w:rPr/>
            </w:pPr>
            <w:r>
              <w:rPr/>
              <w:t>Test data clearly labeled (e.g. company name prefixed "TEST-") per Section 5</w:t>
            </w:r>
          </w:p>
        </w:tc>
      </w:tr>
      <w:tr>
        <w:trPr/>
        <w:tc>
          <w:tcPr>
            <w:tcW w:w="4910" w:type="dxa"/>
            <w:tcBorders/>
            <w:vAlign w:val="center"/>
          </w:tcPr>
          <w:p>
            <w:pPr>
              <w:pStyle w:val="TableContents"/>
              <w:bidi w:val="0"/>
              <w:spacing w:before="0" w:after="283"/>
              <w:jc w:val="left"/>
              <w:rPr/>
            </w:pPr>
            <w:r>
              <w:rPr/>
              <w:t>A Critical issue found late in UAT delays the Sprint 8 window</w:t>
            </w:r>
          </w:p>
        </w:tc>
        <w:tc>
          <w:tcPr>
            <w:tcW w:w="6429" w:type="dxa"/>
            <w:tcBorders/>
            <w:vAlign w:val="center"/>
          </w:tcPr>
          <w:p>
            <w:pPr>
              <w:pStyle w:val="TableContents"/>
              <w:bidi w:val="0"/>
              <w:spacing w:before="0" w:after="283"/>
              <w:jc w:val="left"/>
              <w:rPr/>
            </w:pPr>
            <w:r>
              <w:rPr/>
              <w:t>11_Deployment Plan's readiness gate already requires UAT sign-off before go-live — the schedule flexes around quality, not the reverse</w:t>
            </w:r>
          </w:p>
        </w:tc>
      </w:tr>
    </w:tbl>
    <w:p>
      <w:pPr>
        <w:pStyle w:val="Heading2"/>
        <w:bidi w:val="0"/>
        <w:jc w:val="left"/>
        <w:rPr/>
      </w:pPr>
      <w:r>
        <w:rPr/>
        <w:t>13. Approval</w:t>
      </w:r>
    </w:p>
    <w:p>
      <w:pPr>
        <w:pStyle w:val="BodyText"/>
        <w:bidi w:val="0"/>
        <w:jc w:val="left"/>
        <w:rPr/>
      </w:pPr>
      <w:r>
        <w:rPr/>
        <w:t>Submitted for review by department process owners and for Board awareness that this plan governs sign-off before Phase 1 go-live.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(Phase 16 User Acceptance Testing); 04_Software Requirements Specification (Section 11 Acceptance Criteria); 05_Business Process Document (Section 10 process owners); 10_Test Plan (Sections 3.8, 5, 6, 9); 11_Deployment Plan (Section 2 readiness gate, Section 8 go-live rollout). </w:t>
      </w:r>
    </w:p>
    <w:p>
      <w:pPr>
        <w:pStyle w:val="Heading1"/>
      </w:pPr>
      <w:r>
        <w:t>Implementation Status Update (18 August 2026)</w:t>
      </w:r>
    </w:p>
    <w:p>
      <w:r>
        <w:t>No UAT has taken place — Section 6's entry criteria (Alpha testing passed, staging stable for a week) are not met, and no staging environment exists.</w:t>
      </w:r>
    </w:p>
    <w:p>
      <w:r>
        <w:t>For awareness only: UAT-01's steps (Section 7) can technically be walked through against the local development build today — creating a subsidiary, adding a branch, adding a department, creating a scoped user, and confirming that user's restricted view — since Sprint 1+2 covers exactly that functionality. This is not a substitute for a real UAT session with the Section 4 participants and does not constitute sign-off.</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Still no UAT has taken place. For awareness: UAT-02 (Employee Records) and UAT-05 (Basic Accounting)'s steps can now technically be walked through against the local development build — registering an employee, setting up a chart of accounts, posting a balanced entry, attempting an unbalanced one, closing a period and confirming a new entry is rejected, generating a trial balance — since Section 7's scripts map closely to what was actually built. This is still not a substitute for a real UAT session with the Section 4 participants and does not constitute sign-off. UAT-04 (Products) has no corresponding functionality yet.</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Implementation Status Update 3 (18 August 2026)</w:t>
      </w:r>
    </w:p>
    <w:p>
      <w:r>
        <w:t>Still no UAT has taken place. For awareness: UAT-03 (Customer and Supplier Records)'s steps can now technically be walked through against the local development build — registering a customer, editing credit limit/payment terms, viewing an (empty, as this scenario's own expected result anticipates) statement; registering a supplier, then blacklisting and unblacklisting it — matching Section 7's script closely, minus the document-upload step. This is still not a substitute for a real UAT session and does not constitute sign-off.</w:t>
      </w:r>
    </w:p>
    <w:p>
      <w:r>
        <w:t>See mbms/README.md for exact run instructions and seeded demo credentials.</w:t>
      </w:r>
    </w:p>
    <w:p>
      <w:pPr>
        <w:pStyle w:val="Heading1"/>
      </w:pPr>
      <w:r>
        <w:t>Implementation Status Update 4 (18 August 2026)</w:t>
      </w:r>
    </w:p>
    <w:p>
      <w:r>
        <w:t>Still no UAT has taken place. UAT-04 (Product Records)'s steps can now technically be walked through against the local development build — creating a product category, creating a product with a code/UoM/barcode, attempting a duplicate code and confirming a clear rejection, editing details — matching Section 7's script closely. All four Phase 1 module scenarios (UAT-01 through UAT-04) plus UAT-05/06 are now technically walkable end to end against this build; none have actually been run as a real UAT session, and this still does not constitute sign-off.</w:t>
      </w:r>
    </w:p>
    <w:p>
      <w:r>
        <w:t>See mbms/README.md for exact run instructions and seeded demo credentials.</w:t>
      </w:r>
    </w:p>
    <w:p>
      <w:pPr>
        <w:pStyle w:val="Heading1"/>
      </w:pPr>
      <w:r>
        <w:t>Implementation Status Update 5 (18 August 2026)</w:t>
      </w:r>
    </w:p>
    <w:p>
      <w:r>
        <w:t>Still no UAT has taken place. UAT-06 (Audit Trail and Dashboard)'s steps can now technically be walked through against the local development build — searching the audit trail for actions from the other five scenarios, confirming no edit/delete option exists anywhere in the interface, and viewing the Group dashboard's recent activity — matching Section 7's script closely. All six Phase 1 UAT scenarios (UAT-01 through UAT-06) are now technically walkable end to end against this build for the first time; none have actually been run as a real UAT session with the Section 4 participants, and this still does not constitute sign-off.</w:t>
      </w:r>
    </w:p>
    <w:p>
      <w:r>
        <w:t>See mbms/README.md for exact run instructions and seeded demo credentials.</w:t>
      </w:r>
    </w:p>
    <w:p>
      <w:pPr>
        <w:pStyle w:val="Heading1"/>
      </w:pPr>
      <w:r>
        <w:t>Implementation Status Update 6 (18 August 2026)</w:t>
      </w:r>
    </w:p>
    <w:p>
      <w:r>
        <w:t>No UAT scenario in Section 6 needs new steps — the three fixes this update made are corrections underneath UAT-01 (Login and Session Management) and UAT-02 (User and Role Management), not new user-facing behavior UAT-01/02's existing scripts don't already cover. A participant walking UAT-02 today would now correctly be blocked from setting a weak password and would see the new Direct Permissions / Department Scope fields on the Users &amp; Roles screen, which they would not have seen before this update. See mbms/README.md, "Sprint 1 verification pass", for the full detail and verification method.</w:t>
      </w:r>
    </w:p>
    <w:p>
      <w:pPr>
        <w:pStyle w:val="Heading1"/>
      </w:pPr>
      <w:r>
        <w:t>Implementation Status Update 7 (18 August 2026)</w:t>
      </w:r>
    </w:p>
    <w:p>
      <w:r>
        <w:t>UAT-01 through UAT-06's existing scripts don't need new steps for this update's fixes — they are corrections underneath company/branch/department management, not new user-facing scenarios. Worth flagging for whoever eventually facilitates a real UAT session: before this update, a participant walking any company-creation step while logged in as any of the seven originally-documented demo personas would have hit a FORBIDDEN response and the "+ New Company" button wouldn't even have been visible — the same class of gap this plan's participant-readiness checklist should guard against for every future demo persona. See mbms/README.md, "Sprint 2 verification pass", for the full detail and verification method.</w:t>
      </w:r>
    </w:p>
    <w:p>
      <w:pPr>
        <w:pStyle w:val="Heading1"/>
      </w:pPr>
      <w:r>
        <w:t>Implementation Status Update 8 (18 August 2026)</w:t>
      </w:r>
    </w:p>
    <w:p>
      <w:r>
        <w:t>UAT-03 (Employee Records), if this plan's script has a participant register an employee with next-of-kin, emergency-contact or bank/tax details, could not have been completed as written before this update — those fields had no form field to enter them into. The script is now walkable exactly as written. See mbms/README.md, "Sprint 3 verification pass", for the full detail and verification method.</w:t>
      </w:r>
    </w:p>
    <w:p>
      <w:pPr>
        <w:pStyle w:val="Heading1"/>
      </w:pPr>
      <w:r>
        <w:t>Implementation Status Update 9 (18 August 2026)</w:t>
      </w:r>
    </w:p>
    <w:p>
      <w:r>
        <w:t>UAT-04 (Supplier Records) and UAT-03/similar Customer scenarios, if this plan's scripts have a participant enter contact details, address or bank/contract information during registration, could not have been completed as written before this update for several of those fields. Both scripts are now walkable exactly as written. See mbms/README.md, "Sprint 4 verification pass", for the full detail and verification method.</w:t>
      </w:r>
    </w:p>
    <w:p>
      <w:pPr>
        <w:pStyle w:val="Heading1"/>
      </w:pPr>
      <w:r>
        <w:t>Implementation Status Update 10 (18 August 2026)</w:t>
      </w:r>
    </w:p>
    <w:p>
      <w:r>
        <w:t>Any UAT script step that registers a service (not a physical good) or records a barcode/description during product registration could not have been completed as written before this update. Now walkable exactly as written. See mbms/README.md, "Sprint 5 verification pass", for the full detail and verification method.</w:t>
      </w:r>
    </w:p>
    <w:p>
      <w:pPr>
        <w:pStyle w:val="Heading1"/>
      </w:pPr>
      <w:r>
        <w:t>Implementation Status Update 11 (18 August 2026)</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UAT-05 (Basic Accounting), if this plan's script has a participant review a general ledger for a specific account, could not have been completed as written before this update — no such report existed. UAT-06 (Audit Trail and Dashboard), if a subsidiary-scoped Finance Manager participant is asked to view their own accounting summary, likewise could not have been completed. Both are now walkable exactly as written.</w:t>
      </w:r>
    </w:p>
    <w:p>
      <w:r>
        <w:t>See mbms/README.md, "Sprint 6 verification pass", for the full detail and verification method.</w:t>
      </w:r>
    </w:p>
    <w:p>
      <w:pPr>
        <w:pStyle w:val="Heading1"/>
      </w:pPr>
      <w:r>
        <w:t>Implementation Status Update 12 (18 August 2026)</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No UAT scenario changes — security testing is a separate test level from UAT and doesn't add or remove UAT steps. See mbms/README.md, "Sprint 7: security testing pass", for the full detail and verification method.</w:t>
      </w:r>
    </w:p>
    <w:p>
      <w:pPr>
        <w:pStyle w:val="Heading1"/>
      </w:pPr>
      <w:r>
        <w:t>Implementation Status Update 13 (18 August 2026)</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All six UAT scenarios (UAT-01 through UAT-06) were walked back-to-back in one continuous session, in the roles each scenario specifies, with zero console/page errors — the first time this plan's full scenario set has been exercised continuously rather than piecemeal across separate sprints. This is not a substitute for a real UAT session with actual department representatives and does not constitute sign-off, but it is the strongest evidence yet that the scripted scenarios are walkable as written.</w:t>
      </w:r>
    </w:p>
    <w:p>
      <w:r>
        <w:t>See mbms/README.md, "Sprint 8: performance, Alpha and UAT pass", for the full detail and verification method.</w:t>
      </w:r>
    </w:p>
    <w:p>
      <w:pPr>
        <w:pStyle w:val="Heading1"/>
      </w:pPr>
      <w:r>
        <w:t>Implementation Status Update 14 (18 August 2026)</w:t>
      </w:r>
    </w:p>
    <w:p>
      <w:r>
        <w:t>Scope note: same as this document's update pattern since Sprint 6 — Expense Management is new Phase 2 work, not a re-run of an existing UAT scenario, and needed no redirect since Phase 1's UAT (Sprint 8) was already complete.</w:t>
      </w:r>
    </w:p>
    <w:p>
      <w:r>
        <w:t>A new scenario, UAT-07 (Expense Claim Submission and Approval), was walked end-to-end in the same roles this document's existing UAT-01 through UAT-06 already use: a Branch Manager submits and a Sales Manager separately manager-approves the claim, a Finance Manager finance-approves and pays it, and an Auditor confirms read-only visibility into the resulting claim and its audit trail without holding any create/approve/pay permission. All steps passed with zero errors; formal stakeholder sign-off was not sought, the same honest gap already noted against UAT-01 through UAT-06 in earlier updates.</w:t>
      </w:r>
    </w:p>
    <w:p>
      <w:r>
        <w:t>See mbms/README.md, “Sprint 9”, for the full detail and verification method.</w:t>
      </w:r>
    </w:p>
    <w:p>
      <w:pPr>
        <w:pStyle w:val="Heading1"/>
      </w:pPr>
      <w:r>
        <w:t>Implementation Status Update 15 (18 August 2026)</w:t>
      </w:r>
    </w:p>
    <w:p>
      <w:r>
        <w:t>Scope note: this sprint's request matches Multi_Holdings_Limited_Software_Development_Procedures.docx's own Sprint 10 (“Accounting”) directly — no redirect needed.</w:t>
      </w:r>
    </w:p>
    <w:p>
      <w:r>
        <w:t>A new scenario, UAT-08 (Recurring Entries and Financial Statements), was walked end-to-end: a Finance Manager generated and posted a recurring rent entry, then pulled Income Statement and Balance Sheet reports for Morise Agro Ltd, then a Managing Director pulled the same two reports consolidated from Morise Holdings Limited and confirmed both subsidiaries rolled up correctly with the holding company itself correctly excluded. All steps passed with zero errors; formal stakeholder sign-off was not sought, the same honest gap already noted against UAT-01 through UAT-07 in earlier updates.</w:t>
      </w:r>
    </w:p>
    <w:p>
      <w:r>
        <w:t>See mbms/README.md, “Sprint 10”, for the full detail and verification method.</w:t>
      </w:r>
    </w:p>
    <w:p>
      <w:pPr>
        <w:pStyle w:val="Heading1"/>
      </w:pPr>
      <w:r>
        <w:t>Implementation Status Update 16 (18 August 2026)</w:t>
      </w:r>
    </w:p>
    <w:p>
      <w:r>
        <w:t>Scope note: matches Multi_Holdings_Limited_Software_Development_Procedures.docx's own Sprint 11 directly.</w:t>
      </w:r>
    </w:p>
    <w:p>
      <w:r>
        <w:t>A new scenario, UAT-09 (Asset Lifecycle), was walked end-to-end: a Procurement Manager registered an asset and later requested its disposal, a Managing Director approved with inspection notes, and a Finance Manager executed the disposal and confirmed the resulting journal entry on the Accounting screen. All steps passed with zero errors; formal stakeholder sign-off was not sought, the same honest gap already noted against every earlier UAT scenario.</w:t>
      </w:r>
    </w:p>
    <w:p>
      <w:r>
        <w:t>See mbms/README.md, “Sprint 11”, for the full detail and verification method.</w:t>
      </w:r>
    </w:p>
    <w:p>
      <w:pPr>
        <w:pStyle w:val="Heading1"/>
      </w:pPr>
      <w:r>
        <w:t>Implementation Status Update 17 (18 August 2026)</w:t>
      </w:r>
    </w:p>
    <w:p>
      <w:r>
        <w:t>Scope note: matches Multi_Holdings_Limited_Software_Development_Procedures.docx's own Sprint 12 directly.</w:t>
      </w:r>
    </w:p>
    <w:p>
      <w:r>
        <w:t>A new scenario, UAT-10 (Project Lifecycle and Profitability), was walked end-to-end: a Finance Manager registered a project, assigned a team and tasks, walked it through its full status lifecycle to closed, and reviewed its profitability with a real linked expense claim feeding the actual-cost figure. All steps passed with zero errors; formal stakeholder sign-off was not sought, the same honest gap already noted against every earlier UAT scenario.</w:t>
      </w:r>
    </w:p>
    <w:p>
      <w:r>
        <w:t>See mbms/README.md, “Sprint 12”, for the full detail and verification method.</w:t>
      </w:r>
    </w:p>
    <w:p>
      <w:pPr>
        <w:pStyle w:val="Heading1"/>
      </w:pPr>
      <w:r>
        <w:t>Implementation Status Update 18 (18 August 2026)</w:t>
      </w:r>
    </w:p>
    <w:p>
      <w:r>
        <w:t>Scope note: matches Multi_Holdings_Limited_Software_Development_Procedures.docx's own Sprint 13 directly.</w:t>
      </w:r>
    </w:p>
    <w:p>
      <w:r>
        <w:t>A new scenario, UAT-11 (Report Generation and Export), was walked end-to-end: a Managing Director generated and exported (CSV and PDF) a company/branch report, a Finance Manager generated a trial balance report matching the Accounting screen's own figures, and a Sales Manager was correctly refused the employee report while succeeding on customer/supplier reports. All steps passed with zero errors; formal stakeholder sign-off was not sought, the same honest gap already noted against every earlier UAT scenario.</w:t>
      </w:r>
    </w:p>
    <w:p>
      <w:r>
        <w:t>See mbms/README.md, “Sprint 13”, for the full detail and verification method.</w:t>
      </w:r>
    </w:p>
    <w:p>
      <w:pPr>
        <w:pStyle w:val="Heading1"/>
      </w:pPr>
      <w:r>
        <w:t>Implementation Status Update 19 (18 August 2026)</w:t>
      </w:r>
    </w:p>
    <w:p>
      <w:r>
        <w:t>Scope note: matches Multi_Holdings_Limited_Software_Development_Procedures.docx's own Sprint 14 directly.</w:t>
      </w:r>
    </w:p>
    <w:p>
      <w:r>
        <w:t>A new scenario, UAT-12 (Notification-Driven Approval Workflow), was walked end-to-end: a Branch Manager submitted an expense claim, a Sales Manager saw the resulting notification and manager-approved it, a Finance Manager saw and finance-approved it, and the original submitter saw the final notification — the whole chain visible via the notification bell without navigating to the Expenses screen first. All steps passed with zero errors; formal stakeholder sign-off was not sought, the same honest gap already noted against every earlier UAT scenario.</w:t>
      </w:r>
    </w:p>
    <w:p>
      <w:r>
        <w:t>See mbms/README.md, “Sprint 14”, for the full detail and verification method.</w:t>
      </w:r>
    </w:p>
    <w:p>
      <w:pPr>
        <w:pStyle w:val="Heading1"/>
      </w:pPr>
      <w:r>
        <w:t>Implementation Status Update 20 (19 August 2026)</w:t>
      </w:r>
    </w:p>
    <w:p>
      <w:r>
        <w:t>Scope note: requested directly against morise.docx, Section 2.</w:t>
      </w:r>
    </w:p>
    <w:p>
      <w:r>
        <w:t>A new scenario, UAT-13 (Inter-Company Loan and Group Comparison), was walked end-to-end: a Finance Manager created a draft inter-company loan from Morise Agro Ltd to Morise Logistics Ltd, posted it to see two balanced journal entries land on each company's own ledger, then a Managing Director generated the Subsidiary Comparison report and confirmed both companies' figures appeared side by side with a Group total row. All steps passed with zero errors; formal stakeholder sign-off was not sought, the same honest gap already noted against every earlier UAT scenario.</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New UAT scenario: a business customer signs in, places an order, watches staff advance it through fulfillment, pays the resulting invoice, and raises a support ticket that staff reply to — the first UAT scenario in this plan run from the customer's own side of the system rather than a staff role.</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A UAT scenario is added: a staff user confirms they can locate every task they perform today under the new four-category menu, that labels are understood, and that placeholder screens are clearly marked as not-yet-available.</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UAT scenario: a Branch Manager grants a branch colleague an operational permission and confirms it takes effect; attempts to grant an HR or finance permission, or to act on a head-office user, and confirms the system refuses with a clear message. An HR Manager does the equivalent for HR permissions. The Managing Director confirms they can still grant anything.</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UAT: each participating role logs in and confirms their menu contains only what they use day to day, that nothing they cannot do is shown, and that the Managing Director / platform admin view is complete.</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UAT: a customer selects their language, places a test order and opens an invoice, and confirms the navigation and controls read correctly; a customer selecting a partially translated language confirms the experience is still usable.</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UAT: customers representing a few regions each select their language and complete a browse / order / pay / support pass, confirming the translated controls read correctly; an Arabic-speaking customer confirms the right-to-left layout is usable.</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UAT: a customer for each fully translated language completes a full browse / order / pay / support / account pass and confirms every screen reads correctly in their language.</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UAT: a customer places and tracks an order and raises a ticket entirely in their language, confirms product/category/status text reads correctly and that their ticket shows their own wording on return; a support agent confirms the same ticket reads in English with the original available.</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UAT: a customer for a currency-changing language confirms prices, totals and balances read correctly in their currency and number format across the storefront, and that quantities appear in their digits; a finance user confirms the corresponding records are still in UGX.</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UAT: the Managing Director creates a subsidiary, configures its branches / departments / policies and a couple of users, then deactivates it and confirms it disappears from active views but keeps its history; confirms an empty test subsidiary can be deleted and a populated one cannot.</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UAT: the Managing Director reviews the warehousing subsidiary — its branch list (Kampala, Jinja, Mbarara, Gulu, Mbale), departments and policies — and confirms they can be edited and the subsidiary deactivated / reactivated.</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UAT: a stock controller opens Inventory, filters to low / out of stock, records a supplier receipt and an issue against an order, runs a count correction, sets a re-order point, and confirms the Movements tab shows each change with the running balance and their name.</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UAT: a sales user creates a discount code with a cap and a window, a customer applies it in the cart and sees the discounted total, and the order records the code; a site editor edits the About page, publishes it, and confirms /page/about on the storefront shows the new text.</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UAT: the Managing Director issues a discount code with a cap, edits a banner, publishes an updated About page and then deletes a retired discount code — all from the admin screens, without a 403.</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UAT: a customer switches to Swahili, opens the home page and the About page and confirms both are in Swahili; enters an expired code at checkout and sees the reason in Swahili; an administrator confirms the stored banner and page text is still English.</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UAT: an HR manager opens the HR Dashboard, confirms the figures against Employees / Attendance / Recruitment, and reviews the upcoming contract end and leave; an administrator creates a department, renames it, reassigns an employee, and then deletes it.</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UAT: an HR manager rosters the week, publishes it and confirms the affected employees were notified; runs the month's payroll and checks the payslip figures; a manager approves and pays it and confirms the journal entry in the ledger; an HR officer requests a salary advance, a manager approves it, and it is seen recovering on the next run.</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UAT: an employee logs in, clocks in, checks their leave balance and files a request, reviews their roster and appraisal, opens their payslip, and requests a salary advance; an HR manager sees the request appear in Payroll → Salary advances for approval.</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UAT: sign in as the Managing Director (or any manager persona), open each My HR screen, and confirm it shows your own details rather than the “not linked” notice.</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UAT: a finance manager opens Financial &amp; Accounting, checks the group position and by-company figures against the ledger, reviews the payables / receivables / expense figures, confirms the open periods, and follows a shortcut into each sub-screen.</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UAT: a new user registers from the storefront and lands signed in; signs out and back in with the phone number; uses “Forgot your password?”, follows the link shown, sets a new password and signs in with it; tries “Continue with Google”.</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UAT — a customer browses and buys across two subsidiaries in one session; the cart shows two groups; checkout produces two orders and two invoices, one per subsidiary; My Account shows the customer's subsidiary and branch.</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UAT — a customer books a customs-clearance service and a pallet-storage service alongside agri-inputs; the cart shows three company groups and checkout produces one order and invoice per subsidiary.</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UAT — a tester switches language, browses the group catalogue and the Subsidiaries page, edits their profile in that language, then confirms the database (via an admin view) holds English and 0-9.</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UAT — a business tester is unaffected; a technical UAT participant can confirm the API contract by opening /api/v1/docs and executing a read endpoint after authorising with a staff token.</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UAT — a business tester can now evaluate the public site: open “/” signed out, walk Companies → a company → Group Overview → Contacts, switch language, then sign in and confirm the dashboard still loads.</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UAT — no material impact — this update only changes the CSS of the public corporate pages (fonts, colours, radii) to match the storefront. No requirement, interface, data, process or plan item changes. A tester should confirm the landing pages and the shop now share one look.</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UAT — no material impact — this update only changes which shell and CSS the public /page/:slug content pages use, so they match the rest of the corporate site. No requirement, interface, data, process or plan item changes. A tester should confirm the footer About / Terms links open pages that match the rest of the site.</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UAT — a tester with cms.manage adds a Facebook and an Instagram channel in CMS / Site Builder, confirms both show in the storefront footer, hides one and confirms it disappears from the storefront but not the admin list.</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UAT — a tester with cms.manage adds two FAQ items and confirms they show on the landing page; submits an email in the landing newsletter band and confirms it appears in the admin sign-ups list; hides one FAQ and confirms it disappears from the landing page.</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UAT — a tester switches language, opens Orders, and confirms the item names and any cancellation note read in that language; cancels an order with a note in that language and confirms it reads back unchanged for them; an admin opens the same order and reads English.</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UAT — a tester switches language and confirms: the Home screen’s recent orders, the statement rows, and the downloaded statement/invoice PDF all read in that language (Latin-script languages fully; others show label words in English); a discount code typed with local digits still applies.</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UAT — a tester with organisation permissions opens Morise Collateral Management Ltd, confirms its 6 sites, 9 departments and 6 policies, and edits one; confirms it shows on the group directory with no catalogue.</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UAT — a tester opens the storefront signed out, confirms the disclaimer gate appears first with a ~10-second hold before “I Understand, Continue” works, continues to the landing page, and reloads to confirm the gate does not reappear; with cms.manage, edits a statement and confirms the gate updates.</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UAT — a tester opens /?lang=sw (or sets the browser to Swahili), confirms the disclaimer gate and landing page are entirely in Swahili, switches language with the picker on the gate and confirms it sticks.</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UAT — a tester filters the storefront to Morise Collateral Management Ltd, confirms the ten services and their prices, and places an order for one, confirming the invoice is raised by that subsidiary.</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UAT — a tester signs in as the Managing Director and confirms that every screen in ADMIN / BACKEND, HUMAN RESOURCES, MY HR and FINANCIAL &amp; ACCOUNTING shows and accepts its create / edit / approve actions.</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UAT — a tester confirms the Morise mark (navy tile / white “M” / amber diamond) shows on the Admin login and top bar, and the white-tile / navy-“M” variant across the Storefront header, disclaimer gate and customer auth screens; browser tab shows the new favicon.</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UAT — a tester confirms the storefront and corporate home heroes show the Morise banner motif, the storefront promo rail shows the three curated banners, and a shared link previews the social card.</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UAT — a tester confirms the banners appear on the landing page, the Companies directory, each company page, the subsidiary directory and the shop, with the right subsidiary artwork in each place.</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UAT — a delivery scenario can be drafted — a dispatcher raises a delivery from a storefront order, assigns a driver, advances it to delivered with proof, and the order shows as delivered while the customer sees the tracking read — but it is not runnable until delivery.manage / delivery.viewAll are seeded and a dispatch screen exists.</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UAT — draftable scenario: place and pay an order, dispatch and deliver it, acknowledge “good condition” as the customer, and download the Morise-stamped invoice; plus a variant that acknowledges “damaged”, opens an exception and issues no stamp. Not runnable until built.</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UAT — scenario: as a dispatcher, list eligible orders, create a delivery for one, assign a persona, confirm the order shows a delivery in “assigned” and the persona's open count rose; then reassign to a second persona. Not runnable until delivery.manage is seeded and a screen exists.</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UAT — the delivery-assignment UAT scenario is now runnable at the API level; a full UAT pass still needs the Admin “Delivery” dispatch screen.</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UAT — a tester confirms the catalogue reads “Services Catalog”, the button reads “Add to Invoice”, and the basket / breadcrumb / heading read “Invoice”, in English and in the translated languages.</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UAT — an existing scenario covers create-run → approve → pay → payslip → advance recovery per subsidiary. New scenarios to add once built: define a salary structure and see it flow to the payslip; raise a loan and watch it recover; export a payslip PDF; generate a bank payment schedule; and pull department, company and consolidated group payroll reports.</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UAT — new scenario, runnable now: give an employee a structure, add a one-off bonus for the month, run payroll, open the run and expand the payslip to see the breakdown; confirm gross = component sum; confirm a structure-less employee is unaffected.</w:t>
      </w:r>
    </w:p>
    <w:p>
      <w:pPr>
        <w:pStyle w:val="Heading1"/>
      </w:pPr>
      <w:r>
        <w:t>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UAT — existing UAT scenarios cover journal posting, period close, trial balance, AR notes / statements, AP approval / payment and the financial statements. Add an AR-reconciliation scenario when that view is built.</w:t>
      </w:r>
    </w:p>
    <w:p>
      <w:pPr>
        <w:pStyle w:val="Heading1"/>
      </w:pPr>
      <w:r>
        <w:t>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UAT — existing: reconcile a bank account against a statement and see the variance clear; read cash / bank balances on the dashboard. New scenarios when built: run a petty-cash cycle; do a bank-to-cash transfer; issue and approve a payment voucher; open the cash-flow forecast.</w:t>
      </w:r>
    </w:p>
    <w:p>
      <w:pPr>
        <w:pStyle w:val="Heading1"/>
      </w:pPr>
      <w:r>
        <w:t>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UAT — existing: set budget amounts for a period and pull budget-vs-actual; open a project's budget summary. New scenarios when built: draft and approve a department budget; revise it and compare original vs revised; trigger a budget alert; view group budget-vs-actual.</w:t>
      </w:r>
    </w:p>
    <w:p>
      <w:pPr>
        <w:pStyle w:val="Heading1"/>
      </w:pPr>
      <w:r>
        <w:t>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UAT — existing: register a customer, place and fulfil an order, raise an invoice and a credit note, apply a discount, pull a statement. New scenarios when built: send a quotation and convert it; process a sales return; print a receipt / delivery note; record a lead through to a won opportunity; log a complaint and its resolution.</w:t>
      </w:r>
    </w:p>
    <w:p>
      <w:pPr>
        <w:pStyle w:val="Heading1"/>
      </w:pPr>
      <w:r>
        <w:t>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UAT — existing: enter, approve and pay a supplier invoice; raise a supplier credit note. New scenarios when built: raise a requisition through department approval; run an RFQ and compare quotes; approve and issue a PO; receive goods on a GRN and inspect; three-way match the invoice.</w:t>
      </w:r>
    </w:p>
    <w:p>
      <w:pPr>
        <w:pStyle w:val="Heading1"/>
      </w:pPr>
      <w:r>
        <w:t>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UAT — existing: register and edit a supplier, view masked vs. unmasked bank details, blacklist and un-blacklist, pull a supplier statement. New scenarios when built: add multiple contacts; attach a contract and documents; suspend and reinstate; run a quarterly evaluation and read the performance score.</w:t>
      </w:r>
    </w:p>
    <w:p>
      <w:pPr>
        <w:pStyle w:val="Heading1"/>
      </w:pPr>
      <w:r>
        <w:t>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UAT — new scenarios: add three contacts and switch which is primary; run a quarterly evaluation and read the performance band and trend; suspend a supplier with a reason and a lift date, confirm it is skipped, then lift it; confirm a blacklisted supplier cannot be suspended.</w:t>
      </w:r>
    </w:p>
    <w:p>
      <w:pPr>
        <w:pStyle w:val="Heading1"/>
      </w:pPr>
      <w:r>
        <w:t>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UAT — new scenarios: create a warehouse and a couple of bins; transfer stock between warehouses and confirm the roll-up is unchanged; receive a batch with an expiry and a set of serials; set minimum / maximum levels and confirm the shortage / surplus reports; run the valuation, dead-stock and expiring reports.</w:t>
      </w:r>
    </w:p>
    <w:p>
      <w:pPr>
        <w:pStyle w:val="Heading1"/>
      </w:pPr>
      <w:r>
        <w:t>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UAT — new scenarios: assign a picker and a packer; create and receive a goods receipt and confirm the balance change; raise a pick list from a confirmed order, pick / pack / dispatch it, and confirm the order advanced; run a full stock count, enter counts and reconcile; scan a barcode to look up a product.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UAT Plan</dc:title>
</cp:coreProperties>
</file>

<file path=docProps/custom.xml><?xml version="1.0" encoding="utf-8"?>
<Properties xmlns="http://schemas.openxmlformats.org/officeDocument/2006/custom-properties" xmlns:vt="http://schemas.openxmlformats.org/officeDocument/2006/docPropsVTypes"/>
</file>