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Project Proposal</w:t>
      </w:r>
    </w:p>
    <w:p>
      <w:pPr>
        <w:pStyle w:val="BodyText"/>
        <w:bidi w:val="0"/>
        <w:spacing w:before="30" w:after="283"/>
        <w:ind w:hanging="0" w:left="0" w:right="0"/>
        <w:jc w:val="left"/>
        <w:rPr>
          <w:color w:val="444444"/>
          <w:sz w:val="24"/>
        </w:rPr>
      </w:pPr>
      <w:r>
        <w:rPr>
          <w:color w:val="444444"/>
          <w:sz w:val="24"/>
        </w:rPr>
        <w:t>Morise Holdings Limited Business Management System (MBMS)</w:t>
      </w:r>
    </w:p>
    <w:tbl>
      <w:tblPr>
        <w:tblW w:w="11339" w:type="dxa"/>
        <w:jc w:val="left"/>
        <w:tblInd w:w="28" w:type="dxa"/>
        <w:tblLayout w:type="fixed"/>
        <w:tblCellMar>
          <w:top w:w="28" w:type="dxa"/>
          <w:left w:w="28" w:type="dxa"/>
          <w:bottom w:w="28" w:type="dxa"/>
          <w:right w:w="28" w:type="dxa"/>
        </w:tblCellMar>
      </w:tblPr>
      <w:tblGrid>
        <w:gridCol w:w="2264"/>
        <w:gridCol w:w="9075"/>
      </w:tblGrid>
      <w:tr>
        <w:trPr/>
        <w:tc>
          <w:tcPr>
            <w:tcW w:w="2264" w:type="dxa"/>
            <w:tcBorders/>
            <w:vAlign w:val="center"/>
          </w:tcPr>
          <w:p>
            <w:pPr>
              <w:pStyle w:val="TableContents"/>
              <w:bidi w:val="0"/>
              <w:spacing w:before="0" w:after="283"/>
              <w:jc w:val="left"/>
              <w:rPr>
                <w:b/>
              </w:rPr>
            </w:pPr>
            <w:r>
              <w:rPr>
                <w:b/>
              </w:rPr>
              <w:t>Document Type:</w:t>
            </w:r>
          </w:p>
        </w:tc>
        <w:tc>
          <w:tcPr>
            <w:tcW w:w="9075" w:type="dxa"/>
            <w:tcBorders/>
            <w:vAlign w:val="center"/>
          </w:tcPr>
          <w:p>
            <w:pPr>
              <w:pStyle w:val="TableContents"/>
              <w:bidi w:val="0"/>
              <w:spacing w:before="0" w:after="283"/>
              <w:jc w:val="left"/>
              <w:rPr/>
            </w:pPr>
            <w:r>
              <w:rPr/>
              <w:t>Project Proposal</w:t>
            </w:r>
          </w:p>
        </w:tc>
      </w:tr>
      <w:tr>
        <w:trPr/>
        <w:tc>
          <w:tcPr>
            <w:tcW w:w="2264" w:type="dxa"/>
            <w:tcBorders/>
            <w:vAlign w:val="center"/>
          </w:tcPr>
          <w:p>
            <w:pPr>
              <w:pStyle w:val="TableContents"/>
              <w:bidi w:val="0"/>
              <w:spacing w:before="0" w:after="283"/>
              <w:jc w:val="left"/>
              <w:rPr>
                <w:b/>
              </w:rPr>
            </w:pPr>
            <w:r>
              <w:rPr>
                <w:b/>
              </w:rPr>
              <w:t>Version:</w:t>
            </w:r>
          </w:p>
        </w:tc>
        <w:tc>
          <w:tcPr>
            <w:tcW w:w="9075" w:type="dxa"/>
            <w:tcBorders/>
            <w:vAlign w:val="center"/>
          </w:tcPr>
          <w:p>
            <w:pPr>
              <w:pStyle w:val="TableContents"/>
              <w:bidi w:val="0"/>
              <w:spacing w:before="0" w:after="283"/>
              <w:jc w:val="left"/>
              <w:rPr/>
            </w:pPr>
            <w:r>
              <w:rPr/>
              <w:t>1.4</w:t>
            </w:r>
          </w:p>
        </w:tc>
      </w:tr>
      <w:tr>
        <w:trPr/>
        <w:tc>
          <w:tcPr>
            <w:tcW w:w="2264" w:type="dxa"/>
            <w:tcBorders/>
            <w:vAlign w:val="center"/>
          </w:tcPr>
          <w:p>
            <w:pPr>
              <w:pStyle w:val="TableContents"/>
              <w:bidi w:val="0"/>
              <w:spacing w:before="0" w:after="283"/>
              <w:jc w:val="left"/>
              <w:rPr>
                <w:b/>
              </w:rPr>
            </w:pPr>
            <w:r>
              <w:rPr>
                <w:b/>
              </w:rPr>
              <w:t>Date:</w:t>
            </w:r>
          </w:p>
        </w:tc>
        <w:tc>
          <w:tcPr>
            <w:tcW w:w="9075" w:type="dxa"/>
            <w:tcBorders/>
            <w:vAlign w:val="center"/>
          </w:tcPr>
          <w:p>
            <w:pPr>
              <w:pStyle w:val="TableContents"/>
              <w:bidi w:val="0"/>
              <w:spacing w:before="0" w:after="283"/>
              <w:jc w:val="left"/>
              <w:rPr/>
            </w:pPr>
            <w:r>
              <w:rPr/>
              <w:t>18 August 2026</w:t>
            </w:r>
          </w:p>
        </w:tc>
      </w:tr>
      <w:tr>
        <w:trPr/>
        <w:tc>
          <w:tcPr>
            <w:tcW w:w="2264" w:type="dxa"/>
            <w:tcBorders/>
            <w:vAlign w:val="center"/>
          </w:tcPr>
          <w:p>
            <w:pPr>
              <w:pStyle w:val="TableContents"/>
              <w:bidi w:val="0"/>
              <w:spacing w:before="0" w:after="283"/>
              <w:jc w:val="left"/>
              <w:rPr>
                <w:b/>
              </w:rPr>
            </w:pPr>
            <w:r>
              <w:rPr>
                <w:b/>
              </w:rPr>
              <w:t>Submitted by:</w:t>
            </w:r>
          </w:p>
        </w:tc>
        <w:tc>
          <w:tcPr>
            <w:tcW w:w="9075" w:type="dxa"/>
            <w:tcBorders/>
            <w:vAlign w:val="center"/>
          </w:tcPr>
          <w:p>
            <w:pPr>
              <w:pStyle w:val="TableContents"/>
              <w:bidi w:val="0"/>
              <w:spacing w:before="0" w:after="283"/>
              <w:jc w:val="left"/>
              <w:rPr/>
            </w:pPr>
            <w:r>
              <w:rPr/>
              <w:t>Obeke Godfrey, Director</w:t>
            </w:r>
          </w:p>
        </w:tc>
      </w:tr>
      <w:tr>
        <w:trPr/>
        <w:tc>
          <w:tcPr>
            <w:tcW w:w="2264" w:type="dxa"/>
            <w:tcBorders/>
            <w:vAlign w:val="center"/>
          </w:tcPr>
          <w:p>
            <w:pPr>
              <w:pStyle w:val="TableContents"/>
              <w:bidi w:val="0"/>
              <w:spacing w:before="0" w:after="283"/>
              <w:jc w:val="left"/>
              <w:rPr>
                <w:b/>
              </w:rPr>
            </w:pPr>
            <w:r>
              <w:rPr>
                <w:b/>
              </w:rPr>
              <w:t>Submitted to:</w:t>
            </w:r>
          </w:p>
        </w:tc>
        <w:tc>
          <w:tcPr>
            <w:tcW w:w="9075" w:type="dxa"/>
            <w:tcBorders/>
            <w:vAlign w:val="center"/>
          </w:tcPr>
          <w:p>
            <w:pPr>
              <w:pStyle w:val="TableContents"/>
              <w:bidi w:val="0"/>
              <w:spacing w:before="0" w:after="283"/>
              <w:jc w:val="left"/>
              <w:rPr/>
            </w:pPr>
            <w:r>
              <w:rPr/>
              <w:t>Board of Directors, Morise Holdings Limited</w:t>
            </w:r>
          </w:p>
        </w:tc>
      </w:tr>
      <w:tr>
        <w:trPr/>
        <w:tc>
          <w:tcPr>
            <w:tcW w:w="2264" w:type="dxa"/>
            <w:tcBorders/>
            <w:vAlign w:val="center"/>
          </w:tcPr>
          <w:p>
            <w:pPr>
              <w:pStyle w:val="TableContents"/>
              <w:bidi w:val="0"/>
              <w:spacing w:before="0" w:after="283"/>
              <w:jc w:val="left"/>
              <w:rPr>
                <w:b/>
              </w:rPr>
            </w:pPr>
            <w:r>
              <w:rPr>
                <w:b/>
              </w:rPr>
              <w:t>Purpose of this document:</w:t>
            </w:r>
          </w:p>
        </w:tc>
        <w:tc>
          <w:tcPr>
            <w:tcW w:w="9075" w:type="dxa"/>
            <w:tcBorders/>
            <w:vAlign w:val="center"/>
          </w:tcPr>
          <w:p>
            <w:pPr>
              <w:pStyle w:val="TableContents"/>
              <w:bidi w:val="0"/>
              <w:spacing w:before="0" w:after="283"/>
              <w:jc w:val="left"/>
              <w:rPr/>
            </w:pPr>
            <w:r>
              <w:rPr/>
              <w:t>To propose the MBMS project for Board consideration and to request approval to proceed to detailed feasibility and requirements work</w:t>
            </w:r>
          </w:p>
        </w:tc>
      </w:tr>
    </w:tbl>
    <w:p>
      <w:pPr>
        <w:pStyle w:val="Heading2"/>
        <w:bidi w:val="0"/>
        <w:jc w:val="left"/>
        <w:rPr/>
      </w:pPr>
      <w:r>
        <w:rPr/>
        <w:t>1. Introduction</w:t>
      </w:r>
    </w:p>
    <w:p>
      <w:pPr>
        <w:pStyle w:val="BodyText"/>
        <w:bidi w:val="0"/>
        <w:jc w:val="left"/>
        <w:rPr/>
      </w:pPr>
      <w:r>
        <w:rPr/>
        <w:t xml:space="preserve">This proposal recommends that Morise Holdings Limited commission the design and phased development of a centralized </w:t>
      </w:r>
      <w:r>
        <w:rPr>
          <w:b/>
        </w:rPr>
        <w:t>Business Management System (MBMS)</w:t>
      </w:r>
      <w:r>
        <w:rPr/>
        <w:t xml:space="preserve"> to support the Group's holding-company structure, its subsidiaries, branches and day-to-day operations. It is submitted for the Board's consideration in line with the Group's governance practice of authorizing major undertakings by resolution, as reflected in the Board's own resolution of 14 June 2019 establishing the Group's banking arrangements with Equity Bank (Uganda) Limited.</w:t>
      </w:r>
    </w:p>
    <w:p>
      <w:pPr>
        <w:pStyle w:val="BodyText"/>
        <w:bidi w:val="0"/>
        <w:jc w:val="left"/>
        <w:rPr/>
      </w:pPr>
      <w:r>
        <w:rPr/>
        <w:t>The proposal sets out why the project is needed, what it aims to achieve, what is (and is not) included in its scope, who is involved, what it is expected to cost and how it may be funded, and what is being asked of the Board at this stage. It is intended as the entry point into the Group's formal project documentation sequence — to be followed, on approval, by a Project Charter, Feasibility Study, Software Requirements Specification and System Design Document (all now completed and available as companion documents).</w:t>
      </w:r>
    </w:p>
    <w:p>
      <w:pPr>
        <w:pStyle w:val="Heading2"/>
        <w:bidi w:val="0"/>
        <w:jc w:val="left"/>
        <w:rPr/>
      </w:pPr>
      <w:r>
        <w:rPr/>
        <w:t>2. Background</w:t>
      </w:r>
    </w:p>
    <w:p>
      <w:pPr>
        <w:pStyle w:val="BodyText"/>
        <w:bidi w:val="0"/>
        <w:jc w:val="left"/>
        <w:rPr/>
      </w:pPr>
      <w:r>
        <w:rPr/>
        <w:t>Morise Holdings Limited is structured as a holding company, with subsidiary companies, branches and associated entities operating under it. The Group's own governance records — including the 2019 Board Resolution establishing its principal banking relationship, with Mr. Okurut Mathias (Managing Director) as principal signatory and Mrs. Okurut Rhonah Bagonza (Secretary) and Mr. Obeke Godfrey (Director) as alternate signatories — already demonstrate a multi-entity, board-governed organization.</w:t>
      </w:r>
    </w:p>
    <w:p>
      <w:pPr>
        <w:pStyle w:val="BodyText"/>
        <w:bidi w:val="0"/>
        <w:jc w:val="left"/>
        <w:rPr/>
      </w:pPr>
      <w:r>
        <w:rPr/>
        <w:t>The MBMS system scope document illustrates the target structure directly, using the Group's own name:</w:t>
      </w:r>
    </w:p>
    <w:p>
      <w:pPr>
        <w:pStyle w:val="BodyText"/>
        <w:bidi w:val="0"/>
        <w:spacing w:before="150" w:after="150"/>
        <w:ind w:hanging="0" w:left="150" w:right="150"/>
        <w:jc w:val="left"/>
        <w:rPr>
          <w:rFonts w:ascii="Courier New;monospace" w:hAnsi="Courier New;monospace"/>
          <w:sz w:val="21"/>
          <w:bdr w:val="single" w:sz="2" w:space="8" w:color="C7D3E8"/>
          <w:shd w:fill="F2F5FA" w:val="clear"/>
        </w:rPr>
      </w:pPr>
      <w:r>
        <w:rPr>
          <w:rFonts w:ascii="Courier New;monospace" w:hAnsi="Courier New;monospace"/>
          <w:sz w:val="21"/>
          <w:bdr w:val="single" w:sz="2" w:space="8" w:color="C7D3E8"/>
          <w:shd w:fill="F2F5FA" w:val="clear"/>
        </w:rPr>
        <w:t>Morise Holdings Limited Subsidiary A Branch 1 Branch 2 Subsidiary B Branch 1 Branch 2 Subsidiary C Branch 1 Investment Company Associated Companies</w:t>
      </w:r>
    </w:p>
    <w:p>
      <w:pPr>
        <w:pStyle w:val="BodyText"/>
        <w:bidi w:val="0"/>
        <w:jc w:val="left"/>
        <w:rPr/>
      </w:pPr>
      <w:r>
        <w:rPr/>
        <w:t>As the Group has grown, the number of companies, branches, employees, customers, suppliers, assets and transactions it must track has grown with it. At present, this information is held separately across individual companies and branches, largely through manual records and spreadsheets, with no single system giving the Board or Group management a consolidated, real-time view of the business.</w:t>
      </w:r>
    </w:p>
    <w:p>
      <w:pPr>
        <w:pStyle w:val="Heading2"/>
        <w:bidi w:val="0"/>
        <w:jc w:val="left"/>
        <w:rPr/>
      </w:pPr>
      <w:r>
        <w:rPr/>
        <w:t>3. Justification / Business Case</w:t>
      </w:r>
    </w:p>
    <w:p>
      <w:pPr>
        <w:pStyle w:val="Heading3"/>
        <w:bidi w:val="0"/>
        <w:jc w:val="left"/>
        <w:rPr/>
      </w:pPr>
      <w:r>
        <w:rPr/>
        <w:t>3.1 The Problem</w:t>
      </w:r>
    </w:p>
    <w:p>
      <w:pPr>
        <w:pStyle w:val="BodyText"/>
        <w:numPr>
          <w:ilvl w:val="0"/>
          <w:numId w:val="1"/>
        </w:numPr>
        <w:tabs>
          <w:tab w:val="clear" w:pos="1134"/>
          <w:tab w:val="left" w:pos="709" w:leader="none"/>
        </w:tabs>
        <w:bidi w:val="0"/>
        <w:spacing w:before="0" w:after="0"/>
        <w:ind w:hanging="283" w:left="709"/>
        <w:jc w:val="left"/>
        <w:rPr/>
      </w:pPr>
      <w:r>
        <w:rPr/>
        <w:t xml:space="preserve">Financial, HR, sales, procurement and inventory data is scattered across subsidiaries and branches, with no consolidated view available to Group management on demand. </w:t>
      </w:r>
    </w:p>
    <w:p>
      <w:pPr>
        <w:pStyle w:val="BodyText"/>
        <w:numPr>
          <w:ilvl w:val="0"/>
          <w:numId w:val="1"/>
        </w:numPr>
        <w:tabs>
          <w:tab w:val="clear" w:pos="1134"/>
          <w:tab w:val="left" w:pos="709" w:leader="none"/>
        </w:tabs>
        <w:bidi w:val="0"/>
        <w:spacing w:before="0" w:after="0"/>
        <w:ind w:hanging="283" w:left="709"/>
        <w:jc w:val="left"/>
        <w:rPr/>
      </w:pPr>
      <w:r>
        <w:rPr/>
        <w:t xml:space="preserve">Basic Group-level questions — Group cash position, which subsidiary is most/least profitable, total receivables and payables, headcount, asset holdings — currently require manual collection and collation from multiple sources. </w:t>
      </w:r>
    </w:p>
    <w:p>
      <w:pPr>
        <w:pStyle w:val="BodyText"/>
        <w:numPr>
          <w:ilvl w:val="0"/>
          <w:numId w:val="1"/>
        </w:numPr>
        <w:tabs>
          <w:tab w:val="clear" w:pos="1134"/>
          <w:tab w:val="left" w:pos="709" w:leader="none"/>
        </w:tabs>
        <w:bidi w:val="0"/>
        <w:spacing w:before="0" w:after="0"/>
        <w:ind w:hanging="283" w:left="709"/>
        <w:jc w:val="left"/>
        <w:rPr/>
      </w:pPr>
      <w:r>
        <w:rPr/>
        <w:t xml:space="preserve">Manual, paper-based and spreadsheet-driven processes are error-prone, slow to reconcile, and leave weak audit trails, which is a growing risk for a Board-governed, multi-signatory organization. </w:t>
      </w:r>
    </w:p>
    <w:p>
      <w:pPr>
        <w:pStyle w:val="BodyText"/>
        <w:numPr>
          <w:ilvl w:val="0"/>
          <w:numId w:val="1"/>
        </w:numPr>
        <w:tabs>
          <w:tab w:val="clear" w:pos="1134"/>
          <w:tab w:val="left" w:pos="709" w:leader="none"/>
        </w:tabs>
        <w:bidi w:val="0"/>
        <w:spacing w:before="0" w:after="0"/>
        <w:ind w:hanging="283" w:left="709"/>
        <w:jc w:val="left"/>
        <w:rPr/>
      </w:pPr>
      <w:r>
        <w:rPr/>
        <w:t xml:space="preserve">There is no structured, role-based control over who can see or change financial, HR or governance information as more staff across more companies require system access. </w:t>
      </w:r>
    </w:p>
    <w:p>
      <w:pPr>
        <w:pStyle w:val="BodyText"/>
        <w:numPr>
          <w:ilvl w:val="0"/>
          <w:numId w:val="1"/>
        </w:numPr>
        <w:tabs>
          <w:tab w:val="clear" w:pos="1134"/>
          <w:tab w:val="left" w:pos="709" w:leader="none"/>
        </w:tabs>
        <w:bidi w:val="0"/>
        <w:ind w:hanging="283" w:left="709"/>
        <w:jc w:val="left"/>
        <w:rPr/>
      </w:pPr>
      <w:r>
        <w:rPr/>
        <w:t xml:space="preserve">Board records themselves — meetings, resolutions, minutes and decisions — are currently kept outside any structured system, risking loss of institutional memory over time. </w:t>
      </w:r>
    </w:p>
    <w:p>
      <w:pPr>
        <w:pStyle w:val="Heading3"/>
        <w:bidi w:val="0"/>
        <w:jc w:val="left"/>
        <w:rPr/>
      </w:pPr>
      <w:r>
        <w:rPr/>
        <w:t>3.2 Why Act Now</w:t>
      </w:r>
    </w:p>
    <w:p>
      <w:pPr>
        <w:pStyle w:val="BodyText"/>
        <w:bidi w:val="0"/>
        <w:jc w:val="left"/>
        <w:rPr/>
      </w:pPr>
      <w:r>
        <w:rPr/>
        <w:t>These issues compound as the Group adds subsidiaries and branches. Addressing them now, while the organizational structure is still relatively manageable, is significantly less costly and disruptive than retrofitting controls and systems onto a larger, more complex group later. A centralized system also directly supports the kind of multi-signatory financial control and audit-readiness the Board has already shown it values through its banking governance practices.</w:t>
      </w:r>
    </w:p>
    <w:p>
      <w:pPr>
        <w:pStyle w:val="Heading3"/>
        <w:bidi w:val="0"/>
        <w:jc w:val="left"/>
        <w:rPr/>
      </w:pPr>
      <w:r>
        <w:rPr/>
        <w:t>3.3 Options Considered</w:t>
      </w:r>
    </w:p>
    <w:tbl>
      <w:tblPr>
        <w:tblW w:w="11339" w:type="dxa"/>
        <w:jc w:val="left"/>
        <w:tblInd w:w="28" w:type="dxa"/>
        <w:tblLayout w:type="fixed"/>
        <w:tblCellMar>
          <w:top w:w="28" w:type="dxa"/>
          <w:left w:w="28" w:type="dxa"/>
          <w:bottom w:w="28" w:type="dxa"/>
          <w:right w:w="28" w:type="dxa"/>
        </w:tblCellMar>
      </w:tblPr>
      <w:tblGrid>
        <w:gridCol w:w="3606"/>
        <w:gridCol w:w="7733"/>
      </w:tblGrid>
      <w:tr>
        <w:trPr/>
        <w:tc>
          <w:tcPr>
            <w:tcW w:w="3606" w:type="dxa"/>
            <w:tcBorders/>
            <w:vAlign w:val="center"/>
          </w:tcPr>
          <w:p>
            <w:pPr>
              <w:pStyle w:val="TableHeading"/>
              <w:suppressLineNumbers/>
              <w:shd w:fill="1F3864" w:val="clear"/>
              <w:bidi w:val="0"/>
              <w:spacing w:before="0" w:after="283"/>
              <w:jc w:val="left"/>
              <w:rPr/>
            </w:pPr>
            <w:r>
              <w:rPr/>
              <w:t>Option</w:t>
            </w:r>
          </w:p>
        </w:tc>
        <w:tc>
          <w:tcPr>
            <w:tcW w:w="7733" w:type="dxa"/>
            <w:tcBorders/>
            <w:vAlign w:val="center"/>
          </w:tcPr>
          <w:p>
            <w:pPr>
              <w:pStyle w:val="TableHeading"/>
              <w:suppressLineNumbers/>
              <w:shd w:fill="1F3864" w:val="clear"/>
              <w:bidi w:val="0"/>
              <w:spacing w:before="0" w:after="283"/>
              <w:jc w:val="left"/>
              <w:rPr/>
            </w:pPr>
            <w:r>
              <w:rPr/>
              <w:t>Assessment</w:t>
            </w:r>
          </w:p>
        </w:tc>
      </w:tr>
      <w:tr>
        <w:trPr/>
        <w:tc>
          <w:tcPr>
            <w:tcW w:w="3606" w:type="dxa"/>
            <w:tcBorders/>
            <w:vAlign w:val="center"/>
          </w:tcPr>
          <w:p>
            <w:pPr>
              <w:pStyle w:val="TableContents"/>
              <w:bidi w:val="0"/>
              <w:spacing w:before="0" w:after="283"/>
              <w:jc w:val="left"/>
              <w:rPr/>
            </w:pPr>
            <w:r>
              <w:rPr/>
              <w:t>Continue with current manual/spreadsheet-based processes</w:t>
            </w:r>
          </w:p>
        </w:tc>
        <w:tc>
          <w:tcPr>
            <w:tcW w:w="7733" w:type="dxa"/>
            <w:tcBorders/>
            <w:vAlign w:val="center"/>
          </w:tcPr>
          <w:p>
            <w:pPr>
              <w:pStyle w:val="TableContents"/>
              <w:bidi w:val="0"/>
              <w:spacing w:before="0" w:after="283"/>
              <w:jc w:val="left"/>
              <w:rPr/>
            </w:pPr>
            <w:r>
              <w:rPr/>
              <w:t>Lowest short-term cost, but does not scale with Group growth and leaves current control, audit and visibility weaknesses unresolved.</w:t>
            </w:r>
          </w:p>
        </w:tc>
      </w:tr>
      <w:tr>
        <w:trPr/>
        <w:tc>
          <w:tcPr>
            <w:tcW w:w="3606" w:type="dxa"/>
            <w:tcBorders/>
            <w:vAlign w:val="center"/>
          </w:tcPr>
          <w:p>
            <w:pPr>
              <w:pStyle w:val="TableContents"/>
              <w:bidi w:val="0"/>
              <w:spacing w:before="0" w:after="283"/>
              <w:jc w:val="left"/>
              <w:rPr/>
            </w:pPr>
            <w:r>
              <w:rPr/>
              <w:t>Buy several separate off-the-shelf tools (accounting, HR, inventory, etc.)</w:t>
            </w:r>
          </w:p>
        </w:tc>
        <w:tc>
          <w:tcPr>
            <w:tcW w:w="7733" w:type="dxa"/>
            <w:tcBorders/>
            <w:vAlign w:val="center"/>
          </w:tcPr>
          <w:p>
            <w:pPr>
              <w:pStyle w:val="TableContents"/>
              <w:bidi w:val="0"/>
              <w:spacing w:before="0" w:after="283"/>
              <w:jc w:val="left"/>
              <w:rPr/>
            </w:pPr>
            <w:r>
              <w:rPr/>
              <w:t>Faster to acquire individually, but does not deliver Group-wide consolidation or a single audit trail, and creates ongoing integration and licensing overhead across companies.</w:t>
            </w:r>
          </w:p>
        </w:tc>
      </w:tr>
      <w:tr>
        <w:trPr/>
        <w:tc>
          <w:tcPr>
            <w:tcW w:w="3606" w:type="dxa"/>
            <w:tcBorders/>
            <w:vAlign w:val="center"/>
          </w:tcPr>
          <w:p>
            <w:pPr>
              <w:pStyle w:val="TableContents"/>
              <w:bidi w:val="0"/>
              <w:spacing w:before="0" w:after="283"/>
              <w:jc w:val="left"/>
              <w:rPr>
                <w:b/>
              </w:rPr>
            </w:pPr>
            <w:r>
              <w:rPr>
                <w:b/>
              </w:rPr>
              <w:t>Design and build a purpose-built, centralized Group platform (recommended)</w:t>
            </w:r>
          </w:p>
        </w:tc>
        <w:tc>
          <w:tcPr>
            <w:tcW w:w="7733" w:type="dxa"/>
            <w:tcBorders/>
            <w:vAlign w:val="center"/>
          </w:tcPr>
          <w:p>
            <w:pPr>
              <w:pStyle w:val="TableContents"/>
              <w:bidi w:val="0"/>
              <w:spacing w:before="0" w:after="283"/>
              <w:jc w:val="left"/>
              <w:rPr/>
            </w:pPr>
            <w:r>
              <w:rPr/>
              <w:t>Matches the Group's specific multi-company/multi-branch structure; can be delivered in controlled, incremental phases; scales as the Group adds subsidiaries. Requires more upfront investment in requirements and design than buying off-the-shelf tools.</w:t>
            </w:r>
          </w:p>
        </w:tc>
      </w:tr>
    </w:tbl>
    <w:p>
      <w:pPr>
        <w:pStyle w:val="BodyText"/>
        <w:bidi w:val="0"/>
        <w:jc w:val="left"/>
        <w:rPr/>
      </w:pPr>
      <w:r>
        <w:rPr/>
        <w:t>This proposal recommends the third option, delivered in the phased manner described in Section 5, with cost and schedule confirmed feasible, with conditions, by the Feasibility Study.</w:t>
      </w:r>
    </w:p>
    <w:p>
      <w:pPr>
        <w:pStyle w:val="Heading3"/>
        <w:bidi w:val="0"/>
        <w:jc w:val="left"/>
        <w:rPr/>
      </w:pPr>
      <w:r>
        <w:rPr/>
        <w:t>3.4 Expected Benefits</w:t>
      </w:r>
    </w:p>
    <w:p>
      <w:pPr>
        <w:pStyle w:val="BodyText"/>
        <w:numPr>
          <w:ilvl w:val="0"/>
          <w:numId w:val="2"/>
        </w:numPr>
        <w:tabs>
          <w:tab w:val="clear" w:pos="1134"/>
          <w:tab w:val="left" w:pos="709" w:leader="none"/>
        </w:tabs>
        <w:bidi w:val="0"/>
        <w:spacing w:before="0" w:after="0"/>
        <w:ind w:hanging="283" w:left="709"/>
        <w:jc w:val="left"/>
        <w:rPr/>
      </w:pPr>
      <w:r>
        <w:rPr>
          <w:b/>
        </w:rPr>
        <w:t>Consolidated visibility:</w:t>
      </w:r>
      <w:r>
        <w:rPr/>
        <w:t xml:space="preserve"> real-time, Group-wide dashboards for the Board, Group CEO and CFO, alongside independent subsidiary-level dashboards. </w:t>
      </w:r>
    </w:p>
    <w:p>
      <w:pPr>
        <w:pStyle w:val="BodyText"/>
        <w:numPr>
          <w:ilvl w:val="0"/>
          <w:numId w:val="2"/>
        </w:numPr>
        <w:tabs>
          <w:tab w:val="clear" w:pos="1134"/>
          <w:tab w:val="left" w:pos="709" w:leader="none"/>
        </w:tabs>
        <w:bidi w:val="0"/>
        <w:spacing w:before="0" w:after="0"/>
        <w:ind w:hanging="283" w:left="709"/>
        <w:jc w:val="left"/>
        <w:rPr/>
      </w:pPr>
      <w:r>
        <w:rPr>
          <w:b/>
        </w:rPr>
        <w:t>Stronger financial control:</w:t>
      </w:r>
      <w:r>
        <w:rPr/>
        <w:t xml:space="preserve"> structured approval workflows (purchases, payments, leave, budgets, expenses, contracts) and a full system audit trail. </w:t>
      </w:r>
    </w:p>
    <w:p>
      <w:pPr>
        <w:pStyle w:val="BodyText"/>
        <w:numPr>
          <w:ilvl w:val="0"/>
          <w:numId w:val="2"/>
        </w:numPr>
        <w:tabs>
          <w:tab w:val="clear" w:pos="1134"/>
          <w:tab w:val="left" w:pos="709" w:leader="none"/>
        </w:tabs>
        <w:bidi w:val="0"/>
        <w:spacing w:before="0" w:after="0"/>
        <w:ind w:hanging="283" w:left="709"/>
        <w:jc w:val="left"/>
        <w:rPr/>
      </w:pPr>
      <w:r>
        <w:rPr>
          <w:b/>
        </w:rPr>
        <w:t>Operational efficiency:</w:t>
      </w:r>
      <w:r>
        <w:rPr/>
        <w:t xml:space="preserve"> automation of core processes (procurement, sales, HR, expenses) that are currently manual, reducing reconciliation effort and delay. </w:t>
      </w:r>
    </w:p>
    <w:p>
      <w:pPr>
        <w:pStyle w:val="BodyText"/>
        <w:numPr>
          <w:ilvl w:val="0"/>
          <w:numId w:val="2"/>
        </w:numPr>
        <w:tabs>
          <w:tab w:val="clear" w:pos="1134"/>
          <w:tab w:val="left" w:pos="709" w:leader="none"/>
        </w:tabs>
        <w:bidi w:val="0"/>
        <w:spacing w:before="0" w:after="0"/>
        <w:ind w:hanging="283" w:left="709"/>
        <w:jc w:val="left"/>
        <w:rPr/>
      </w:pPr>
      <w:r>
        <w:rPr>
          <w:b/>
        </w:rPr>
        <w:t>Compliance support:</w:t>
      </w:r>
      <w:r>
        <w:rPr/>
        <w:t xml:space="preserve"> built-in tax configuration (VAT, withholding tax, PAYE) and compliance tracking across the jurisdictions in which Group companies operate. </w:t>
      </w:r>
    </w:p>
    <w:p>
      <w:pPr>
        <w:pStyle w:val="BodyText"/>
        <w:numPr>
          <w:ilvl w:val="0"/>
          <w:numId w:val="2"/>
        </w:numPr>
        <w:tabs>
          <w:tab w:val="clear" w:pos="1134"/>
          <w:tab w:val="left" w:pos="709" w:leader="none"/>
        </w:tabs>
        <w:bidi w:val="0"/>
        <w:ind w:hanging="283" w:left="709"/>
        <w:jc w:val="left"/>
        <w:rPr/>
      </w:pPr>
      <w:r>
        <w:rPr>
          <w:b/>
        </w:rPr>
        <w:t>Scalable growth:</w:t>
      </w:r>
      <w:r>
        <w:rPr/>
        <w:t xml:space="preserve"> new subsidiaries and branches can be onboarded onto the same platform without rebuilding administrative processes each time. </w:t>
      </w:r>
    </w:p>
    <w:p>
      <w:pPr>
        <w:pStyle w:val="Heading3"/>
        <w:bidi w:val="0"/>
        <w:jc w:val="left"/>
        <w:rPr/>
      </w:pPr>
      <w:r>
        <w:rPr/>
        <w:t>3.5 What the System Is Ultimately Meant to Answer</w:t>
      </w:r>
    </w:p>
    <w:p>
      <w:pPr>
        <w:pStyle w:val="BodyText"/>
        <w:bidi w:val="0"/>
        <w:jc w:val="left"/>
        <w:rPr/>
      </w:pPr>
      <w:r>
        <w:rPr/>
        <w:t>The MBMS system scope document sets out, in concrete terms, the questions the finished platform should let management answer on demand. The table below maps each question to the phase of the roadmap (Section 5) that delivers it, so the Board can see exactly what value each phase of investment unlocks:</w:t>
      </w:r>
    </w:p>
    <w:tbl>
      <w:tblPr>
        <w:tblW w:w="11339" w:type="dxa"/>
        <w:jc w:val="left"/>
        <w:tblInd w:w="28" w:type="dxa"/>
        <w:tblLayout w:type="fixed"/>
        <w:tblCellMar>
          <w:top w:w="28" w:type="dxa"/>
          <w:left w:w="28" w:type="dxa"/>
          <w:bottom w:w="28" w:type="dxa"/>
          <w:right w:w="28" w:type="dxa"/>
        </w:tblCellMar>
      </w:tblPr>
      <w:tblGrid>
        <w:gridCol w:w="7711"/>
        <w:gridCol w:w="3628"/>
      </w:tblGrid>
      <w:tr>
        <w:trPr/>
        <w:tc>
          <w:tcPr>
            <w:tcW w:w="7711" w:type="dxa"/>
            <w:tcBorders/>
            <w:vAlign w:val="center"/>
          </w:tcPr>
          <w:p>
            <w:pPr>
              <w:pStyle w:val="TableHeading"/>
              <w:suppressLineNumbers/>
              <w:shd w:fill="1F3864" w:val="clear"/>
              <w:bidi w:val="0"/>
              <w:spacing w:before="0" w:after="283"/>
              <w:jc w:val="left"/>
              <w:rPr/>
            </w:pPr>
            <w:r>
              <w:rPr/>
              <w:t>Management Question (verbatim from the system scope document)</w:t>
            </w:r>
          </w:p>
        </w:tc>
        <w:tc>
          <w:tcPr>
            <w:tcW w:w="3628" w:type="dxa"/>
            <w:tcBorders/>
            <w:vAlign w:val="center"/>
          </w:tcPr>
          <w:p>
            <w:pPr>
              <w:pStyle w:val="TableHeading"/>
              <w:suppressLineNumbers/>
              <w:shd w:fill="1F3864" w:val="clear"/>
              <w:bidi w:val="0"/>
              <w:spacing w:before="0" w:after="283"/>
              <w:jc w:val="left"/>
              <w:rPr/>
            </w:pPr>
            <w:r>
              <w:rPr/>
              <w:t>Delivered By</w:t>
            </w:r>
          </w:p>
        </w:tc>
      </w:tr>
      <w:tr>
        <w:trPr/>
        <w:tc>
          <w:tcPr>
            <w:tcW w:w="7711" w:type="dxa"/>
            <w:tcBorders/>
            <w:vAlign w:val="center"/>
          </w:tcPr>
          <w:p>
            <w:pPr>
              <w:pStyle w:val="TableContents"/>
              <w:bidi w:val="0"/>
              <w:spacing w:before="0" w:after="283"/>
              <w:jc w:val="left"/>
              <w:rPr/>
            </w:pPr>
            <w:r>
              <w:rPr/>
              <w:t>How many employees does the group have?</w:t>
            </w:r>
          </w:p>
        </w:tc>
        <w:tc>
          <w:tcPr>
            <w:tcW w:w="3628" w:type="dxa"/>
            <w:tcBorders/>
            <w:vAlign w:val="center"/>
          </w:tcPr>
          <w:p>
            <w:pPr>
              <w:pStyle w:val="TableContents"/>
              <w:bidi w:val="0"/>
              <w:spacing w:before="0" w:after="283"/>
              <w:jc w:val="left"/>
              <w:rPr/>
            </w:pPr>
            <w:r>
              <w:rPr>
                <w:b/>
              </w:rPr>
              <w:t>Phase 1</w:t>
            </w:r>
            <w:r>
              <w:rPr/>
              <w:t xml:space="preserve"> — basic employee records and dashboard headcount</w:t>
            </w:r>
          </w:p>
        </w:tc>
      </w:tr>
      <w:tr>
        <w:trPr/>
        <w:tc>
          <w:tcPr>
            <w:tcW w:w="7711" w:type="dxa"/>
            <w:tcBorders/>
            <w:vAlign w:val="center"/>
          </w:tcPr>
          <w:p>
            <w:pPr>
              <w:pStyle w:val="TableContents"/>
              <w:bidi w:val="0"/>
              <w:spacing w:before="0" w:after="283"/>
              <w:jc w:val="left"/>
              <w:rPr/>
            </w:pPr>
            <w:r>
              <w:rPr/>
              <w:t>How much does each company owe suppliers? / How much do customers owe the group? / Which stock items are running low? / Which projects are profitable? / How much has each department spent? / What assets does each company own? / Which vehicles require servicing?</w:t>
            </w:r>
          </w:p>
        </w:tc>
        <w:tc>
          <w:tcPr>
            <w:tcW w:w="3628" w:type="dxa"/>
            <w:tcBorders/>
            <w:vAlign w:val="center"/>
          </w:tcPr>
          <w:p>
            <w:pPr>
              <w:pStyle w:val="TableContents"/>
              <w:bidi w:val="0"/>
              <w:spacing w:before="0" w:after="283"/>
              <w:jc w:val="left"/>
              <w:rPr/>
            </w:pPr>
            <w:r>
              <w:rPr/>
              <w:t>Phase 2 — Sales, Procurement, Inventory, Expenses, Assets, Projects</w:t>
            </w:r>
          </w:p>
        </w:tc>
      </w:tr>
      <w:tr>
        <w:trPr/>
        <w:tc>
          <w:tcPr>
            <w:tcW w:w="7711" w:type="dxa"/>
            <w:tcBorders/>
            <w:vAlign w:val="center"/>
          </w:tcPr>
          <w:p>
            <w:pPr>
              <w:pStyle w:val="TableContents"/>
              <w:bidi w:val="0"/>
              <w:spacing w:before="0" w:after="283"/>
              <w:jc w:val="left"/>
              <w:rPr/>
            </w:pPr>
            <w:r>
              <w:rPr/>
              <w:t>How much money does the group have? / How much is spent on salaries? / How are group investments performing? / What are the company's current liabilities? / Which subsidiary is making the most/least profit? / What is the consolidated financial position of the entire group?</w:t>
            </w:r>
          </w:p>
        </w:tc>
        <w:tc>
          <w:tcPr>
            <w:tcW w:w="3628" w:type="dxa"/>
            <w:tcBorders/>
            <w:vAlign w:val="center"/>
          </w:tcPr>
          <w:p>
            <w:pPr>
              <w:pStyle w:val="TableContents"/>
              <w:bidi w:val="0"/>
              <w:spacing w:before="0" w:after="283"/>
              <w:jc w:val="left"/>
              <w:rPr/>
            </w:pPr>
            <w:r>
              <w:rPr/>
              <w:t>Phase 3 — Banking, Payroll, Investments, consolidated accounting and financial statements</w:t>
            </w:r>
          </w:p>
        </w:tc>
      </w:tr>
      <w:tr>
        <w:trPr/>
        <w:tc>
          <w:tcPr>
            <w:tcW w:w="7711" w:type="dxa"/>
            <w:tcBorders/>
            <w:vAlign w:val="center"/>
          </w:tcPr>
          <w:p>
            <w:pPr>
              <w:pStyle w:val="TableContents"/>
              <w:bidi w:val="0"/>
              <w:spacing w:before="0" w:after="283"/>
              <w:jc w:val="left"/>
              <w:rPr/>
            </w:pPr>
            <w:r>
              <w:rPr/>
              <w:t>Which contracts are about to expire?</w:t>
            </w:r>
          </w:p>
        </w:tc>
        <w:tc>
          <w:tcPr>
            <w:tcW w:w="3628" w:type="dxa"/>
            <w:tcBorders/>
            <w:vAlign w:val="center"/>
          </w:tcPr>
          <w:p>
            <w:pPr>
              <w:pStyle w:val="TableContents"/>
              <w:bidi w:val="0"/>
              <w:spacing w:before="0" w:after="283"/>
              <w:jc w:val="left"/>
              <w:rPr/>
            </w:pPr>
            <w:r>
              <w:rPr/>
              <w:t>Phase 4 — Contract management</w:t>
            </w:r>
          </w:p>
        </w:tc>
      </w:tr>
      <w:tr>
        <w:trPr/>
        <w:tc>
          <w:tcPr>
            <w:tcW w:w="7711" w:type="dxa"/>
            <w:tcBorders/>
            <w:vAlign w:val="center"/>
          </w:tcPr>
          <w:p>
            <w:pPr>
              <w:pStyle w:val="TableContents"/>
              <w:bidi w:val="0"/>
              <w:spacing w:before="0" w:after="283"/>
              <w:jc w:val="left"/>
              <w:rPr/>
            </w:pPr>
            <w:r>
              <w:rPr/>
              <w:t>Which payments require approval?</w:t>
            </w:r>
          </w:p>
        </w:tc>
        <w:tc>
          <w:tcPr>
            <w:tcW w:w="3628" w:type="dxa"/>
            <w:tcBorders/>
            <w:vAlign w:val="center"/>
          </w:tcPr>
          <w:p>
            <w:pPr>
              <w:pStyle w:val="TableContents"/>
              <w:bidi w:val="0"/>
              <w:spacing w:before="0" w:after="283"/>
              <w:jc w:val="left"/>
              <w:rPr/>
            </w:pPr>
            <w:r>
              <w:rPr/>
              <w:t>Progressively across Phases 2–4, as approval-driven workflows are built for each transaction type</w:t>
            </w:r>
          </w:p>
        </w:tc>
      </w:tr>
    </w:tbl>
    <w:p>
      <w:pPr>
        <w:pStyle w:val="BodyText"/>
        <w:bidi w:val="0"/>
        <w:jc w:val="left"/>
        <w:rPr/>
      </w:pPr>
      <w:r>
        <w:rPr/>
        <w:t>This is also why the proposal recommends phased, Board-gated funding (Section 9.5) rather than a single commitment: each phase delivers a defined, visible subset of this question set, giving the Board evidence of value before approving the next phase's spend.</w:t>
      </w:r>
    </w:p>
    <w:p>
      <w:pPr>
        <w:pStyle w:val="Heading2"/>
        <w:bidi w:val="0"/>
        <w:jc w:val="left"/>
        <w:rPr/>
      </w:pPr>
      <w:r>
        <w:rPr/>
        <w:t>4. Goals and Objectives</w:t>
      </w:r>
    </w:p>
    <w:p>
      <w:pPr>
        <w:pStyle w:val="BodyText"/>
        <w:numPr>
          <w:ilvl w:val="0"/>
          <w:numId w:val="3"/>
        </w:numPr>
        <w:tabs>
          <w:tab w:val="clear" w:pos="1134"/>
          <w:tab w:val="left" w:pos="709" w:leader="none"/>
        </w:tabs>
        <w:bidi w:val="0"/>
        <w:spacing w:before="0" w:after="0"/>
        <w:ind w:hanging="283" w:left="709"/>
        <w:jc w:val="left"/>
        <w:rPr/>
      </w:pPr>
      <w:r>
        <w:rPr/>
        <w:t xml:space="preserve">Centralize company, branch, department, employee, customer, supplier, asset, financial and project records for the entire Group in one system of record. </w:t>
      </w:r>
    </w:p>
    <w:p>
      <w:pPr>
        <w:pStyle w:val="BodyText"/>
        <w:numPr>
          <w:ilvl w:val="0"/>
          <w:numId w:val="3"/>
        </w:numPr>
        <w:tabs>
          <w:tab w:val="clear" w:pos="1134"/>
          <w:tab w:val="left" w:pos="709" w:leader="none"/>
        </w:tabs>
        <w:bidi w:val="0"/>
        <w:spacing w:before="0" w:after="0"/>
        <w:ind w:hanging="283" w:left="709"/>
        <w:jc w:val="left"/>
        <w:rPr/>
      </w:pPr>
      <w:r>
        <w:rPr/>
        <w:t xml:space="preserve">Give the Board and Group executives consolidated financial and operational reporting, while preserving subsidiary-level operational independence. </w:t>
      </w:r>
    </w:p>
    <w:p>
      <w:pPr>
        <w:pStyle w:val="BodyText"/>
        <w:numPr>
          <w:ilvl w:val="0"/>
          <w:numId w:val="3"/>
        </w:numPr>
        <w:tabs>
          <w:tab w:val="clear" w:pos="1134"/>
          <w:tab w:val="left" w:pos="709" w:leader="none"/>
        </w:tabs>
        <w:bidi w:val="0"/>
        <w:spacing w:before="0" w:after="0"/>
        <w:ind w:hanging="283" w:left="709"/>
        <w:jc w:val="left"/>
        <w:rPr/>
      </w:pPr>
      <w:r>
        <w:rPr/>
        <w:t xml:space="preserve">Replace manual, paper-based workflows with automated, auditable processes for procurement, sales, HR, expenses and approvals. </w:t>
      </w:r>
    </w:p>
    <w:p>
      <w:pPr>
        <w:pStyle w:val="BodyText"/>
        <w:numPr>
          <w:ilvl w:val="0"/>
          <w:numId w:val="3"/>
        </w:numPr>
        <w:tabs>
          <w:tab w:val="clear" w:pos="1134"/>
          <w:tab w:val="left" w:pos="709" w:leader="none"/>
        </w:tabs>
        <w:bidi w:val="0"/>
        <w:spacing w:before="0" w:after="0"/>
        <w:ind w:hanging="283" w:left="709"/>
        <w:jc w:val="left"/>
        <w:rPr/>
      </w:pPr>
      <w:r>
        <w:rPr/>
        <w:t xml:space="preserve">Introduce role-based access control and a complete audit trail to strengthen governance and protect sensitive information. </w:t>
      </w:r>
    </w:p>
    <w:p>
      <w:pPr>
        <w:pStyle w:val="BodyText"/>
        <w:numPr>
          <w:ilvl w:val="0"/>
          <w:numId w:val="3"/>
        </w:numPr>
        <w:tabs>
          <w:tab w:val="clear" w:pos="1134"/>
          <w:tab w:val="left" w:pos="709" w:leader="none"/>
        </w:tabs>
        <w:bidi w:val="0"/>
        <w:spacing w:before="0" w:after="0"/>
        <w:ind w:hanging="283" w:left="709"/>
        <w:jc w:val="left"/>
        <w:rPr/>
      </w:pPr>
      <w:r>
        <w:rPr/>
        <w:t xml:space="preserve">Support tax and regulatory compliance across the jurisdictions in which the Group operates. </w:t>
      </w:r>
    </w:p>
    <w:p>
      <w:pPr>
        <w:pStyle w:val="BodyText"/>
        <w:numPr>
          <w:ilvl w:val="0"/>
          <w:numId w:val="3"/>
        </w:numPr>
        <w:tabs>
          <w:tab w:val="clear" w:pos="1134"/>
          <w:tab w:val="left" w:pos="709" w:leader="none"/>
        </w:tabs>
        <w:bidi w:val="0"/>
        <w:ind w:hanging="283" w:left="709"/>
        <w:jc w:val="left"/>
        <w:rPr/>
      </w:pPr>
      <w:r>
        <w:rPr/>
        <w:t xml:space="preserve">Deliver value early and manage risk through phased, incremental releases rather than a single large deployment. </w:t>
      </w:r>
    </w:p>
    <w:p>
      <w:pPr>
        <w:pStyle w:val="Heading2"/>
        <w:bidi w:val="0"/>
        <w:jc w:val="left"/>
        <w:rPr/>
      </w:pPr>
      <w:r>
        <w:rPr/>
        <w:t>5. Proposed Scope</w:t>
      </w:r>
    </w:p>
    <w:p>
      <w:pPr>
        <w:pStyle w:val="BodyText"/>
        <w:bidi w:val="0"/>
        <w:jc w:val="left"/>
        <w:rPr/>
      </w:pPr>
      <w:r>
        <w:rPr/>
        <w:t>Because the full system is large, this proposal recommends phased delivery, so the Board is not asked to commit to the entire system at once. The recommended phasing is:</w:t>
      </w:r>
    </w:p>
    <w:tbl>
      <w:tblPr>
        <w:tblW w:w="11339" w:type="dxa"/>
        <w:jc w:val="left"/>
        <w:tblInd w:w="28" w:type="dxa"/>
        <w:tblLayout w:type="fixed"/>
        <w:tblCellMar>
          <w:top w:w="28" w:type="dxa"/>
          <w:left w:w="28" w:type="dxa"/>
          <w:bottom w:w="28" w:type="dxa"/>
          <w:right w:w="28" w:type="dxa"/>
        </w:tblCellMar>
      </w:tblPr>
      <w:tblGrid>
        <w:gridCol w:w="2217"/>
        <w:gridCol w:w="2137"/>
        <w:gridCol w:w="6985"/>
      </w:tblGrid>
      <w:tr>
        <w:trPr/>
        <w:tc>
          <w:tcPr>
            <w:tcW w:w="2217" w:type="dxa"/>
            <w:tcBorders/>
            <w:vAlign w:val="center"/>
          </w:tcPr>
          <w:p>
            <w:pPr>
              <w:pStyle w:val="TableHeading"/>
              <w:suppressLineNumbers/>
              <w:shd w:fill="1F3864" w:val="clear"/>
              <w:bidi w:val="0"/>
              <w:spacing w:before="0" w:after="283"/>
              <w:jc w:val="left"/>
              <w:rPr/>
            </w:pPr>
            <w:r>
              <w:rPr/>
              <w:t>Phase</w:t>
            </w:r>
          </w:p>
        </w:tc>
        <w:tc>
          <w:tcPr>
            <w:tcW w:w="2137" w:type="dxa"/>
            <w:tcBorders/>
            <w:vAlign w:val="center"/>
          </w:tcPr>
          <w:p>
            <w:pPr>
              <w:pStyle w:val="TableHeading"/>
              <w:suppressLineNumbers/>
              <w:shd w:fill="1F3864" w:val="clear"/>
              <w:bidi w:val="0"/>
              <w:spacing w:before="0" w:after="283"/>
              <w:jc w:val="left"/>
              <w:rPr/>
            </w:pPr>
            <w:r>
              <w:rPr/>
              <w:t>Focus</w:t>
            </w:r>
          </w:p>
        </w:tc>
        <w:tc>
          <w:tcPr>
            <w:tcW w:w="6985" w:type="dxa"/>
            <w:tcBorders/>
            <w:vAlign w:val="center"/>
          </w:tcPr>
          <w:p>
            <w:pPr>
              <w:pStyle w:val="TableHeading"/>
              <w:suppressLineNumbers/>
              <w:shd w:fill="1F3864" w:val="clear"/>
              <w:bidi w:val="0"/>
              <w:spacing w:before="0" w:after="283"/>
              <w:jc w:val="left"/>
              <w:rPr/>
            </w:pPr>
            <w:r>
              <w:rPr/>
              <w:t>Representative Modules</w:t>
            </w:r>
          </w:p>
        </w:tc>
      </w:tr>
      <w:tr>
        <w:trPr/>
        <w:tc>
          <w:tcPr>
            <w:tcW w:w="2217" w:type="dxa"/>
            <w:tcBorders/>
            <w:vAlign w:val="center"/>
          </w:tcPr>
          <w:p>
            <w:pPr>
              <w:pStyle w:val="TableContents"/>
              <w:bidi w:val="0"/>
              <w:spacing w:before="0" w:after="283"/>
              <w:jc w:val="left"/>
              <w:rPr/>
            </w:pPr>
            <w:r>
              <w:rPr/>
              <w:t>Phase 1 — Core (MVP)</w:t>
            </w:r>
          </w:p>
        </w:tc>
        <w:tc>
          <w:tcPr>
            <w:tcW w:w="2137" w:type="dxa"/>
            <w:tcBorders/>
            <w:vAlign w:val="center"/>
          </w:tcPr>
          <w:p>
            <w:pPr>
              <w:pStyle w:val="TableContents"/>
              <w:bidi w:val="0"/>
              <w:spacing w:before="0" w:after="283"/>
              <w:jc w:val="left"/>
              <w:rPr/>
            </w:pPr>
            <w:r>
              <w:rPr/>
              <w:t>Foundational platform</w:t>
            </w:r>
          </w:p>
        </w:tc>
        <w:tc>
          <w:tcPr>
            <w:tcW w:w="6985" w:type="dxa"/>
            <w:tcBorders/>
            <w:vAlign w:val="center"/>
          </w:tcPr>
          <w:p>
            <w:pPr>
              <w:pStyle w:val="TableContents"/>
              <w:bidi w:val="0"/>
              <w:spacing w:before="0" w:after="283"/>
              <w:jc w:val="left"/>
              <w:rPr/>
            </w:pPr>
            <w:r>
              <w:rPr/>
              <w:t>Authentication; company/branch/department management; user, role &amp; permission management; dashboard; employees; customers; suppliers; products; basic accounting</w:t>
            </w:r>
          </w:p>
        </w:tc>
      </w:tr>
      <w:tr>
        <w:trPr/>
        <w:tc>
          <w:tcPr>
            <w:tcW w:w="2217" w:type="dxa"/>
            <w:tcBorders/>
            <w:vAlign w:val="center"/>
          </w:tcPr>
          <w:p>
            <w:pPr>
              <w:pStyle w:val="TableContents"/>
              <w:bidi w:val="0"/>
              <w:spacing w:before="0" w:after="283"/>
              <w:jc w:val="left"/>
              <w:rPr/>
            </w:pPr>
            <w:r>
              <w:rPr/>
              <w:t>Phase 2 — Business Operations</w:t>
            </w:r>
          </w:p>
        </w:tc>
        <w:tc>
          <w:tcPr>
            <w:tcW w:w="2137" w:type="dxa"/>
            <w:tcBorders/>
            <w:vAlign w:val="center"/>
          </w:tcPr>
          <w:p>
            <w:pPr>
              <w:pStyle w:val="TableContents"/>
              <w:bidi w:val="0"/>
              <w:spacing w:before="0" w:after="283"/>
              <w:jc w:val="left"/>
              <w:rPr/>
            </w:pPr>
            <w:r>
              <w:rPr/>
              <w:t>Day-to-day operations</w:t>
            </w:r>
          </w:p>
        </w:tc>
        <w:tc>
          <w:tcPr>
            <w:tcW w:w="6985" w:type="dxa"/>
            <w:tcBorders/>
            <w:vAlign w:val="center"/>
          </w:tcPr>
          <w:p>
            <w:pPr>
              <w:pStyle w:val="TableContents"/>
              <w:bidi w:val="0"/>
              <w:spacing w:before="0" w:after="283"/>
              <w:jc w:val="left"/>
              <w:rPr/>
            </w:pPr>
            <w:r>
              <w:rPr/>
              <w:t>Sales; procurement; inventory; warehouse; expenses; assets; projects</w:t>
            </w:r>
          </w:p>
        </w:tc>
      </w:tr>
      <w:tr>
        <w:trPr/>
        <w:tc>
          <w:tcPr>
            <w:tcW w:w="2217" w:type="dxa"/>
            <w:tcBorders/>
            <w:vAlign w:val="center"/>
          </w:tcPr>
          <w:p>
            <w:pPr>
              <w:pStyle w:val="TableContents"/>
              <w:bidi w:val="0"/>
              <w:spacing w:before="0" w:after="283"/>
              <w:jc w:val="left"/>
              <w:rPr/>
            </w:pPr>
            <w:r>
              <w:rPr/>
              <w:t>Phase 3 — Advanced Finance</w:t>
            </w:r>
          </w:p>
        </w:tc>
        <w:tc>
          <w:tcPr>
            <w:tcW w:w="2137" w:type="dxa"/>
            <w:tcBorders/>
            <w:vAlign w:val="center"/>
          </w:tcPr>
          <w:p>
            <w:pPr>
              <w:pStyle w:val="TableContents"/>
              <w:bidi w:val="0"/>
              <w:spacing w:before="0" w:after="283"/>
              <w:jc w:val="left"/>
              <w:rPr/>
            </w:pPr>
            <w:r>
              <w:rPr/>
              <w:t>Financial depth</w:t>
            </w:r>
          </w:p>
        </w:tc>
        <w:tc>
          <w:tcPr>
            <w:tcW w:w="6985" w:type="dxa"/>
            <w:tcBorders/>
            <w:vAlign w:val="center"/>
          </w:tcPr>
          <w:p>
            <w:pPr>
              <w:pStyle w:val="TableContents"/>
              <w:bidi w:val="0"/>
              <w:spacing w:before="0" w:after="283"/>
              <w:jc w:val="left"/>
              <w:rPr/>
            </w:pPr>
            <w:r>
              <w:rPr/>
              <w:t>Payroll; budgeting; banking; loans; investments; tax; inter-company transactions; consolidated accounting</w:t>
            </w:r>
          </w:p>
        </w:tc>
      </w:tr>
      <w:tr>
        <w:trPr/>
        <w:tc>
          <w:tcPr>
            <w:tcW w:w="2217" w:type="dxa"/>
            <w:tcBorders/>
            <w:vAlign w:val="center"/>
          </w:tcPr>
          <w:p>
            <w:pPr>
              <w:pStyle w:val="TableContents"/>
              <w:bidi w:val="0"/>
              <w:spacing w:before="0" w:after="283"/>
              <w:jc w:val="left"/>
              <w:rPr/>
            </w:pPr>
            <w:r>
              <w:rPr/>
              <w:t>Phase 4 — Enterprise Management</w:t>
            </w:r>
          </w:p>
        </w:tc>
        <w:tc>
          <w:tcPr>
            <w:tcW w:w="2137" w:type="dxa"/>
            <w:tcBorders/>
            <w:vAlign w:val="center"/>
          </w:tcPr>
          <w:p>
            <w:pPr>
              <w:pStyle w:val="TableContents"/>
              <w:bidi w:val="0"/>
              <w:spacing w:before="0" w:after="283"/>
              <w:jc w:val="left"/>
              <w:rPr/>
            </w:pPr>
            <w:r>
              <w:rPr/>
              <w:t>Governance &amp; enterprise functions</w:t>
            </w:r>
          </w:p>
        </w:tc>
        <w:tc>
          <w:tcPr>
            <w:tcW w:w="6985" w:type="dxa"/>
            <w:tcBorders/>
            <w:vAlign w:val="center"/>
          </w:tcPr>
          <w:p>
            <w:pPr>
              <w:pStyle w:val="TableContents"/>
              <w:bidi w:val="0"/>
              <w:spacing w:before="0" w:after="283"/>
              <w:jc w:val="left"/>
              <w:rPr/>
            </w:pPr>
            <w:r>
              <w:rPr/>
              <w:t>Full HR; CRM; contracts; legal; compliance; board &amp; corporate governance management; document management; business intelligence</w:t>
            </w:r>
          </w:p>
        </w:tc>
      </w:tr>
      <w:tr>
        <w:trPr/>
        <w:tc>
          <w:tcPr>
            <w:tcW w:w="2217" w:type="dxa"/>
            <w:tcBorders/>
            <w:vAlign w:val="center"/>
          </w:tcPr>
          <w:p>
            <w:pPr>
              <w:pStyle w:val="TableContents"/>
              <w:bidi w:val="0"/>
              <w:spacing w:before="0" w:after="283"/>
              <w:jc w:val="left"/>
              <w:rPr/>
            </w:pPr>
            <w:r>
              <w:rPr/>
              <w:t>Phase 5 — Integration and Security</w:t>
            </w:r>
          </w:p>
        </w:tc>
        <w:tc>
          <w:tcPr>
            <w:tcW w:w="2137" w:type="dxa"/>
            <w:tcBorders/>
            <w:vAlign w:val="center"/>
          </w:tcPr>
          <w:p>
            <w:pPr>
              <w:pStyle w:val="TableContents"/>
              <w:bidi w:val="0"/>
              <w:spacing w:before="0" w:after="283"/>
              <w:jc w:val="left"/>
              <w:rPr/>
            </w:pPr>
            <w:r>
              <w:rPr/>
              <w:t>Extensibility &amp; hardening</w:t>
            </w:r>
          </w:p>
        </w:tc>
        <w:tc>
          <w:tcPr>
            <w:tcW w:w="6985" w:type="dxa"/>
            <w:tcBorders/>
            <w:vAlign w:val="center"/>
          </w:tcPr>
          <w:p>
            <w:pPr>
              <w:pStyle w:val="TableContents"/>
              <w:bidi w:val="0"/>
              <w:spacing w:before="0" w:after="283"/>
              <w:jc w:val="left"/>
              <w:rPr/>
            </w:pPr>
            <w:r>
              <w:rPr/>
              <w:t>Mobile interface; APIs; payment/bank integration; SMS/email integration; advanced security (2FA); backups &amp; disaster recovery; advanced analytics</w:t>
            </w:r>
          </w:p>
        </w:tc>
      </w:tr>
    </w:tbl>
    <w:p>
      <w:pPr>
        <w:pStyle w:val="BodyText"/>
        <w:bidi w:val="0"/>
        <w:jc w:val="left"/>
        <w:rPr/>
      </w:pPr>
      <w:r>
        <w:rPr/>
        <w:t>This proposal seeks approval in principle for the full phased roadmap, with each phase separately scoped, budgeted and approved before it begins. Phases 3–5, along with third-party vendor/technology selection, data migration and mobile applications, are explicitly out of scope for the initial approval being requested. Detailed, testable requirements for Phase 1 are documented in 04_Software Requirements Specification.</w:t>
      </w:r>
    </w:p>
    <w:p>
      <w:pPr>
        <w:pStyle w:val="Heading2"/>
        <w:bidi w:val="0"/>
        <w:jc w:val="left"/>
        <w:rPr/>
      </w:pPr>
      <w:r>
        <w:rPr/>
        <w:t>6. Approach and Methodology</w:t>
      </w:r>
    </w:p>
    <w:p>
      <w:pPr>
        <w:pStyle w:val="BodyText"/>
        <w:bidi w:val="0"/>
        <w:jc w:val="left"/>
        <w:rPr/>
      </w:pPr>
      <w:r>
        <w:rPr/>
        <w:t>Delivery will follow a controlled software development lifecycle: requirements gathering and analysis, system and database design, UI/UX design, development, integration, testing (including security testing), User Acceptance Testing (UAT), deployment, training, and ongoing maintenance. Rollout to the Group will be phased — pilot with one subsidiary, resolve issues, then extend to remaining subsidiaries and branches — rather than switching the entire Group over at once.</w:t>
      </w:r>
    </w:p>
    <w:p>
      <w:pPr>
        <w:pStyle w:val="BodyText"/>
        <w:bidi w:val="0"/>
        <w:jc w:val="left"/>
        <w:rPr/>
      </w:pPr>
      <w:r>
        <w:rPr/>
        <w:t xml:space="preserve">The system scope document specifies a Node.js/NestJS/PostgreSQL/Kafka technology stack. The Group has directed that Phase 1 be built as a full </w:t>
      </w:r>
      <w:r>
        <w:rPr>
          <w:b/>
        </w:rPr>
        <w:t>microservices architecture</w:t>
      </w:r>
      <w:r>
        <w:rPr/>
        <w:t xml:space="preserve"> using this stack from the outset — eight independently deployable services plus an API Gateway, with Kafka event streaming and a full observability stack (Prometheus/Grafana, Jaeger, EFK) adopted as Phase 1 infrastructure — as formally recorded in 07_System Design Document (v2.0). This supersedes an earlier Feasibility Study recommendation to build Phase 1 as a simpler modular monolith; the Board should be aware this direction carries higher infrastructure cost and a higher development-team skills bar than that original recommendation, as detailed in 03_Feasibility Study (Section 3.1.2) and 07_System Design Document (Section 12).</w:t>
      </w:r>
    </w:p>
    <w:p>
      <w:pPr>
        <w:pStyle w:val="Heading2"/>
        <w:bidi w:val="0"/>
        <w:jc w:val="left"/>
        <w:rPr/>
      </w:pPr>
      <w:r>
        <w:rPr/>
        <w:t>7. Stakeholders</w:t>
      </w:r>
    </w:p>
    <w:p>
      <w:pPr>
        <w:pStyle w:val="Heading3"/>
        <w:bidi w:val="0"/>
        <w:jc w:val="left"/>
        <w:rPr/>
      </w:pPr>
      <w:r>
        <w:rPr/>
        <w:t>7.1 Governance</w:t>
      </w:r>
    </w:p>
    <w:tbl>
      <w:tblPr>
        <w:tblW w:w="9331" w:type="dxa"/>
        <w:jc w:val="left"/>
        <w:tblInd w:w="28" w:type="dxa"/>
        <w:tblLayout w:type="fixed"/>
        <w:tblCellMar>
          <w:top w:w="28" w:type="dxa"/>
          <w:left w:w="28" w:type="dxa"/>
          <w:bottom w:w="28" w:type="dxa"/>
          <w:right w:w="28" w:type="dxa"/>
        </w:tblCellMar>
      </w:tblPr>
      <w:tblGrid>
        <w:gridCol w:w="2547"/>
        <w:gridCol w:w="1961"/>
        <w:gridCol w:w="4823"/>
      </w:tblGrid>
      <w:tr>
        <w:trPr/>
        <w:tc>
          <w:tcPr>
            <w:tcW w:w="2547" w:type="dxa"/>
            <w:tcBorders/>
            <w:vAlign w:val="center"/>
          </w:tcPr>
          <w:p>
            <w:pPr>
              <w:pStyle w:val="TableHeading"/>
              <w:suppressLineNumbers/>
              <w:shd w:fill="1F3864" w:val="clear"/>
              <w:bidi w:val="0"/>
              <w:spacing w:before="0" w:after="283"/>
              <w:jc w:val="left"/>
              <w:rPr/>
            </w:pPr>
            <w:r>
              <w:rPr/>
              <w:t>Name</w:t>
            </w:r>
          </w:p>
        </w:tc>
        <w:tc>
          <w:tcPr>
            <w:tcW w:w="1961" w:type="dxa"/>
            <w:tcBorders/>
            <w:vAlign w:val="center"/>
          </w:tcPr>
          <w:p>
            <w:pPr>
              <w:pStyle w:val="TableHeading"/>
              <w:suppressLineNumbers/>
              <w:shd w:fill="1F3864" w:val="clear"/>
              <w:bidi w:val="0"/>
              <w:spacing w:before="0" w:after="283"/>
              <w:jc w:val="left"/>
              <w:rPr/>
            </w:pPr>
            <w:r>
              <w:rPr/>
              <w:t>Role</w:t>
            </w:r>
          </w:p>
        </w:tc>
        <w:tc>
          <w:tcPr>
            <w:tcW w:w="4823" w:type="dxa"/>
            <w:tcBorders/>
            <w:vAlign w:val="center"/>
          </w:tcPr>
          <w:p>
            <w:pPr>
              <w:pStyle w:val="TableHeading"/>
              <w:suppressLineNumbers/>
              <w:shd w:fill="1F3864" w:val="clear"/>
              <w:bidi w:val="0"/>
              <w:spacing w:before="0" w:after="283"/>
              <w:jc w:val="left"/>
              <w:rPr/>
            </w:pPr>
            <w:r>
              <w:rPr/>
              <w:t>Signatory Status (per 2019 Board Resolution)</w:t>
            </w:r>
          </w:p>
        </w:tc>
      </w:tr>
      <w:tr>
        <w:trPr/>
        <w:tc>
          <w:tcPr>
            <w:tcW w:w="2547" w:type="dxa"/>
            <w:tcBorders/>
            <w:vAlign w:val="center"/>
          </w:tcPr>
          <w:p>
            <w:pPr>
              <w:pStyle w:val="TableContents"/>
              <w:bidi w:val="0"/>
              <w:spacing w:before="0" w:after="283"/>
              <w:jc w:val="left"/>
              <w:rPr/>
            </w:pPr>
            <w:r>
              <w:rPr/>
              <w:t>Okurut Mathias</w:t>
            </w:r>
          </w:p>
        </w:tc>
        <w:tc>
          <w:tcPr>
            <w:tcW w:w="1961" w:type="dxa"/>
            <w:tcBorders/>
            <w:vAlign w:val="center"/>
          </w:tcPr>
          <w:p>
            <w:pPr>
              <w:pStyle w:val="TableContents"/>
              <w:bidi w:val="0"/>
              <w:spacing w:before="0" w:after="283"/>
              <w:jc w:val="left"/>
              <w:rPr/>
            </w:pPr>
            <w:r>
              <w:rPr/>
              <w:t>Managing Director</w:t>
            </w:r>
          </w:p>
        </w:tc>
        <w:tc>
          <w:tcPr>
            <w:tcW w:w="4823" w:type="dxa"/>
            <w:tcBorders/>
            <w:vAlign w:val="center"/>
          </w:tcPr>
          <w:p>
            <w:pPr>
              <w:pStyle w:val="TableContents"/>
              <w:bidi w:val="0"/>
              <w:spacing w:before="0" w:after="283"/>
              <w:jc w:val="left"/>
              <w:rPr/>
            </w:pPr>
            <w:r>
              <w:rPr/>
              <w:t>Principal signatory</w:t>
            </w:r>
          </w:p>
        </w:tc>
      </w:tr>
      <w:tr>
        <w:trPr/>
        <w:tc>
          <w:tcPr>
            <w:tcW w:w="2547" w:type="dxa"/>
            <w:tcBorders/>
            <w:vAlign w:val="center"/>
          </w:tcPr>
          <w:p>
            <w:pPr>
              <w:pStyle w:val="TableContents"/>
              <w:bidi w:val="0"/>
              <w:spacing w:before="0" w:after="283"/>
              <w:jc w:val="left"/>
              <w:rPr/>
            </w:pPr>
            <w:r>
              <w:rPr/>
              <w:t>Okurut Rhonah Bagonza</w:t>
            </w:r>
          </w:p>
        </w:tc>
        <w:tc>
          <w:tcPr>
            <w:tcW w:w="1961" w:type="dxa"/>
            <w:tcBorders/>
            <w:vAlign w:val="center"/>
          </w:tcPr>
          <w:p>
            <w:pPr>
              <w:pStyle w:val="TableContents"/>
              <w:bidi w:val="0"/>
              <w:spacing w:before="0" w:after="283"/>
              <w:jc w:val="left"/>
              <w:rPr/>
            </w:pPr>
            <w:r>
              <w:rPr/>
              <w:t>Secretary</w:t>
            </w:r>
          </w:p>
        </w:tc>
        <w:tc>
          <w:tcPr>
            <w:tcW w:w="4823" w:type="dxa"/>
            <w:tcBorders/>
            <w:vAlign w:val="center"/>
          </w:tcPr>
          <w:p>
            <w:pPr>
              <w:pStyle w:val="TableContents"/>
              <w:bidi w:val="0"/>
              <w:spacing w:before="0" w:after="283"/>
              <w:jc w:val="left"/>
              <w:rPr/>
            </w:pPr>
            <w:r>
              <w:rPr/>
              <w:t>Alternate signatory (deceased)</w:t>
            </w:r>
          </w:p>
        </w:tc>
      </w:tr>
      <w:tr>
        <w:trPr/>
        <w:tc>
          <w:tcPr>
            <w:tcW w:w="2547" w:type="dxa"/>
            <w:tcBorders/>
            <w:vAlign w:val="center"/>
          </w:tcPr>
          <w:p>
            <w:pPr>
              <w:pStyle w:val="TableContents"/>
              <w:bidi w:val="0"/>
              <w:spacing w:before="0" w:after="283"/>
              <w:jc w:val="left"/>
              <w:rPr/>
            </w:pPr>
            <w:r>
              <w:rPr/>
              <w:t>Obeke Godfrey</w:t>
            </w:r>
          </w:p>
        </w:tc>
        <w:tc>
          <w:tcPr>
            <w:tcW w:w="1961" w:type="dxa"/>
            <w:tcBorders/>
            <w:vAlign w:val="center"/>
          </w:tcPr>
          <w:p>
            <w:pPr>
              <w:pStyle w:val="TableContents"/>
              <w:bidi w:val="0"/>
              <w:spacing w:before="0" w:after="283"/>
              <w:jc w:val="left"/>
              <w:rPr/>
            </w:pPr>
            <w:r>
              <w:rPr/>
              <w:t>Director</w:t>
            </w:r>
          </w:p>
        </w:tc>
        <w:tc>
          <w:tcPr>
            <w:tcW w:w="4823" w:type="dxa"/>
            <w:tcBorders/>
            <w:vAlign w:val="center"/>
          </w:tcPr>
          <w:p>
            <w:pPr>
              <w:pStyle w:val="TableContents"/>
              <w:bidi w:val="0"/>
              <w:spacing w:before="0" w:after="283"/>
              <w:jc w:val="left"/>
              <w:rPr/>
            </w:pPr>
            <w:r>
              <w:rPr/>
              <w:t>Alternate signatory</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Note for the Board:</w:t>
      </w:r>
      <w:r>
        <w:rPr>
          <w:sz w:val="21"/>
          <w:bdr w:val="single" w:sz="24" w:space="9" w:color="D98C00"/>
          <w:shd w:fill="FFF4E5" w:val="clear"/>
        </w:rPr>
        <w:t xml:space="preserve"> the Secretary/alternate-signatory position recorded in the 2019 resolution is held by the late Mrs. Okurut Rhonah Bagonza. The Board may wish to formally update this position ahead of any resolution approving project funding, since funding release is likely to require multi-signatory authorization.</w:t>
      </w:r>
    </w:p>
    <w:p>
      <w:pPr>
        <w:pStyle w:val="Heading3"/>
        <w:bidi w:val="0"/>
        <w:jc w:val="left"/>
        <w:rPr/>
      </w:pPr>
      <w:r>
        <w:rPr/>
        <w:t>7.2 Other Stakeholders</w:t>
      </w:r>
    </w:p>
    <w:tbl>
      <w:tblPr>
        <w:tblW w:w="11339" w:type="dxa"/>
        <w:jc w:val="left"/>
        <w:tblInd w:w="28" w:type="dxa"/>
        <w:tblLayout w:type="fixed"/>
        <w:tblCellMar>
          <w:top w:w="28" w:type="dxa"/>
          <w:left w:w="28" w:type="dxa"/>
          <w:bottom w:w="28" w:type="dxa"/>
          <w:right w:w="28" w:type="dxa"/>
        </w:tblCellMar>
      </w:tblPr>
      <w:tblGrid>
        <w:gridCol w:w="2785"/>
        <w:gridCol w:w="8554"/>
      </w:tblGrid>
      <w:tr>
        <w:trPr/>
        <w:tc>
          <w:tcPr>
            <w:tcW w:w="2785" w:type="dxa"/>
            <w:tcBorders/>
            <w:vAlign w:val="center"/>
          </w:tcPr>
          <w:p>
            <w:pPr>
              <w:pStyle w:val="TableHeading"/>
              <w:suppressLineNumbers/>
              <w:shd w:fill="1F3864" w:val="clear"/>
              <w:bidi w:val="0"/>
              <w:spacing w:before="0" w:after="283"/>
              <w:jc w:val="left"/>
              <w:rPr/>
            </w:pPr>
            <w:r>
              <w:rPr/>
              <w:t>Stakeholder</w:t>
            </w:r>
          </w:p>
        </w:tc>
        <w:tc>
          <w:tcPr>
            <w:tcW w:w="8554" w:type="dxa"/>
            <w:tcBorders/>
            <w:vAlign w:val="center"/>
          </w:tcPr>
          <w:p>
            <w:pPr>
              <w:pStyle w:val="TableHeading"/>
              <w:suppressLineNumbers/>
              <w:shd w:fill="1F3864" w:val="clear"/>
              <w:bidi w:val="0"/>
              <w:spacing w:before="0" w:after="283"/>
              <w:jc w:val="left"/>
              <w:rPr/>
            </w:pPr>
            <w:r>
              <w:rPr/>
              <w:t>Interest / Role</w:t>
            </w:r>
          </w:p>
        </w:tc>
      </w:tr>
      <w:tr>
        <w:trPr/>
        <w:tc>
          <w:tcPr>
            <w:tcW w:w="2785" w:type="dxa"/>
            <w:tcBorders/>
            <w:vAlign w:val="center"/>
          </w:tcPr>
          <w:p>
            <w:pPr>
              <w:pStyle w:val="TableContents"/>
              <w:bidi w:val="0"/>
              <w:spacing w:before="0" w:after="283"/>
              <w:jc w:val="left"/>
              <w:rPr/>
            </w:pPr>
            <w:r>
              <w:rPr/>
              <w:t>Board of Directors</w:t>
            </w:r>
          </w:p>
        </w:tc>
        <w:tc>
          <w:tcPr>
            <w:tcW w:w="8554" w:type="dxa"/>
            <w:tcBorders/>
            <w:vAlign w:val="center"/>
          </w:tcPr>
          <w:p>
            <w:pPr>
              <w:pStyle w:val="TableContents"/>
              <w:bidi w:val="0"/>
              <w:spacing w:before="0" w:after="283"/>
              <w:jc w:val="left"/>
              <w:rPr/>
            </w:pPr>
            <w:r>
              <w:rPr/>
              <w:t>Approves the proposal, subsequent Charter, and phase-by-phase funding</w:t>
            </w:r>
          </w:p>
        </w:tc>
      </w:tr>
      <w:tr>
        <w:trPr/>
        <w:tc>
          <w:tcPr>
            <w:tcW w:w="2785" w:type="dxa"/>
            <w:tcBorders/>
            <w:vAlign w:val="center"/>
          </w:tcPr>
          <w:p>
            <w:pPr>
              <w:pStyle w:val="TableContents"/>
              <w:bidi w:val="0"/>
              <w:spacing w:before="0" w:after="283"/>
              <w:jc w:val="left"/>
              <w:rPr/>
            </w:pPr>
            <w:r>
              <w:rPr/>
              <w:t>Group CEO / Executive Management</w:t>
            </w:r>
          </w:p>
        </w:tc>
        <w:tc>
          <w:tcPr>
            <w:tcW w:w="8554" w:type="dxa"/>
            <w:tcBorders/>
            <w:vAlign w:val="center"/>
          </w:tcPr>
          <w:p>
            <w:pPr>
              <w:pStyle w:val="TableContents"/>
              <w:bidi w:val="0"/>
              <w:spacing w:before="0" w:after="283"/>
              <w:jc w:val="left"/>
              <w:rPr/>
            </w:pPr>
            <w:r>
              <w:rPr/>
              <w:t>Primary business owner of consolidated reporting and cross-company priorities</w:t>
            </w:r>
          </w:p>
        </w:tc>
      </w:tr>
      <w:tr>
        <w:trPr/>
        <w:tc>
          <w:tcPr>
            <w:tcW w:w="2785" w:type="dxa"/>
            <w:tcBorders/>
            <w:vAlign w:val="center"/>
          </w:tcPr>
          <w:p>
            <w:pPr>
              <w:pStyle w:val="TableContents"/>
              <w:bidi w:val="0"/>
              <w:spacing w:before="0" w:after="283"/>
              <w:jc w:val="left"/>
              <w:rPr/>
            </w:pPr>
            <w:r>
              <w:rPr/>
              <w:t>Finance Manager / CFO function</w:t>
            </w:r>
          </w:p>
        </w:tc>
        <w:tc>
          <w:tcPr>
            <w:tcW w:w="8554" w:type="dxa"/>
            <w:tcBorders/>
            <w:vAlign w:val="center"/>
          </w:tcPr>
          <w:p>
            <w:pPr>
              <w:pStyle w:val="TableContents"/>
              <w:bidi w:val="0"/>
              <w:spacing w:before="0" w:after="283"/>
              <w:jc w:val="left"/>
              <w:rPr/>
            </w:pPr>
            <w:r>
              <w:rPr/>
              <w:t>Owns accounting, banking and budgeting requirements; leads cost estimation and funding coordination (see Section 9)</w:t>
            </w:r>
          </w:p>
        </w:tc>
      </w:tr>
      <w:tr>
        <w:trPr/>
        <w:tc>
          <w:tcPr>
            <w:tcW w:w="2785" w:type="dxa"/>
            <w:tcBorders/>
            <w:vAlign w:val="center"/>
          </w:tcPr>
          <w:p>
            <w:pPr>
              <w:pStyle w:val="TableContents"/>
              <w:bidi w:val="0"/>
              <w:spacing w:before="0" w:after="283"/>
              <w:jc w:val="left"/>
              <w:rPr/>
            </w:pPr>
            <w:r>
              <w:rPr/>
              <w:t>HR Manager</w:t>
            </w:r>
          </w:p>
        </w:tc>
        <w:tc>
          <w:tcPr>
            <w:tcW w:w="8554" w:type="dxa"/>
            <w:tcBorders/>
            <w:vAlign w:val="center"/>
          </w:tcPr>
          <w:p>
            <w:pPr>
              <w:pStyle w:val="TableContents"/>
              <w:bidi w:val="0"/>
              <w:spacing w:before="0" w:after="283"/>
              <w:jc w:val="left"/>
              <w:rPr/>
            </w:pPr>
            <w:r>
              <w:rPr/>
              <w:t>Owns employee, recruitment, leave and payroll requirements</w:t>
            </w:r>
          </w:p>
        </w:tc>
      </w:tr>
      <w:tr>
        <w:trPr/>
        <w:tc>
          <w:tcPr>
            <w:tcW w:w="2785" w:type="dxa"/>
            <w:tcBorders/>
            <w:vAlign w:val="center"/>
          </w:tcPr>
          <w:p>
            <w:pPr>
              <w:pStyle w:val="TableContents"/>
              <w:bidi w:val="0"/>
              <w:spacing w:before="0" w:after="283"/>
              <w:jc w:val="left"/>
              <w:rPr/>
            </w:pPr>
            <w:r>
              <w:rPr/>
              <w:t>Procurement Officer</w:t>
            </w:r>
          </w:p>
        </w:tc>
        <w:tc>
          <w:tcPr>
            <w:tcW w:w="8554" w:type="dxa"/>
            <w:tcBorders/>
            <w:vAlign w:val="center"/>
          </w:tcPr>
          <w:p>
            <w:pPr>
              <w:pStyle w:val="TableContents"/>
              <w:bidi w:val="0"/>
              <w:spacing w:before="0" w:after="283"/>
              <w:jc w:val="left"/>
              <w:rPr/>
            </w:pPr>
            <w:r>
              <w:rPr/>
              <w:t>Owns supplier and purchase-order requirements</w:t>
            </w:r>
          </w:p>
        </w:tc>
      </w:tr>
      <w:tr>
        <w:trPr/>
        <w:tc>
          <w:tcPr>
            <w:tcW w:w="2785" w:type="dxa"/>
            <w:tcBorders/>
            <w:vAlign w:val="center"/>
          </w:tcPr>
          <w:p>
            <w:pPr>
              <w:pStyle w:val="TableContents"/>
              <w:bidi w:val="0"/>
              <w:spacing w:before="0" w:after="283"/>
              <w:jc w:val="left"/>
              <w:rPr/>
            </w:pPr>
            <w:r>
              <w:rPr/>
              <w:t>Warehouse / Inventory Manager</w:t>
            </w:r>
          </w:p>
        </w:tc>
        <w:tc>
          <w:tcPr>
            <w:tcW w:w="8554" w:type="dxa"/>
            <w:tcBorders/>
            <w:vAlign w:val="center"/>
          </w:tcPr>
          <w:p>
            <w:pPr>
              <w:pStyle w:val="TableContents"/>
              <w:bidi w:val="0"/>
              <w:spacing w:before="0" w:after="283"/>
              <w:jc w:val="left"/>
              <w:rPr/>
            </w:pPr>
            <w:r>
              <w:rPr/>
              <w:t>Owns stock and warehouse requirements</w:t>
            </w:r>
          </w:p>
        </w:tc>
      </w:tr>
      <w:tr>
        <w:trPr/>
        <w:tc>
          <w:tcPr>
            <w:tcW w:w="2785" w:type="dxa"/>
            <w:tcBorders/>
            <w:vAlign w:val="center"/>
          </w:tcPr>
          <w:p>
            <w:pPr>
              <w:pStyle w:val="TableContents"/>
              <w:bidi w:val="0"/>
              <w:spacing w:before="0" w:after="283"/>
              <w:jc w:val="left"/>
              <w:rPr/>
            </w:pPr>
            <w:r>
              <w:rPr/>
              <w:t>Branch Managers</w:t>
            </w:r>
          </w:p>
        </w:tc>
        <w:tc>
          <w:tcPr>
            <w:tcW w:w="8554" w:type="dxa"/>
            <w:tcBorders/>
            <w:vAlign w:val="center"/>
          </w:tcPr>
          <w:p>
            <w:pPr>
              <w:pStyle w:val="TableContents"/>
              <w:bidi w:val="0"/>
              <w:spacing w:before="0" w:after="283"/>
              <w:jc w:val="left"/>
              <w:rPr/>
            </w:pPr>
            <w:r>
              <w:rPr/>
              <w:t>Represent branch-level needs; users of branch dashboards</w:t>
            </w:r>
          </w:p>
        </w:tc>
      </w:tr>
      <w:tr>
        <w:trPr/>
        <w:tc>
          <w:tcPr>
            <w:tcW w:w="2785" w:type="dxa"/>
            <w:tcBorders/>
            <w:vAlign w:val="center"/>
          </w:tcPr>
          <w:p>
            <w:pPr>
              <w:pStyle w:val="TableContents"/>
              <w:bidi w:val="0"/>
              <w:spacing w:before="0" w:after="283"/>
              <w:jc w:val="left"/>
              <w:rPr/>
            </w:pPr>
            <w:r>
              <w:rPr/>
              <w:t>Employees (general users)</w:t>
            </w:r>
          </w:p>
        </w:tc>
        <w:tc>
          <w:tcPr>
            <w:tcW w:w="8554" w:type="dxa"/>
            <w:tcBorders/>
            <w:vAlign w:val="center"/>
          </w:tcPr>
          <w:p>
            <w:pPr>
              <w:pStyle w:val="TableContents"/>
              <w:bidi w:val="0"/>
              <w:spacing w:before="0" w:after="283"/>
              <w:jc w:val="left"/>
              <w:rPr/>
            </w:pPr>
            <w:r>
              <w:rPr/>
              <w:t>End users of self-service functions (leave, expenses, profile)</w:t>
            </w:r>
          </w:p>
        </w:tc>
      </w:tr>
      <w:tr>
        <w:trPr/>
        <w:tc>
          <w:tcPr>
            <w:tcW w:w="2785" w:type="dxa"/>
            <w:tcBorders/>
            <w:vAlign w:val="center"/>
          </w:tcPr>
          <w:p>
            <w:pPr>
              <w:pStyle w:val="TableContents"/>
              <w:bidi w:val="0"/>
              <w:spacing w:before="0" w:after="283"/>
              <w:jc w:val="left"/>
              <w:rPr/>
            </w:pPr>
            <w:r>
              <w:rPr/>
              <w:t>Development team / technology partner</w:t>
            </w:r>
          </w:p>
        </w:tc>
        <w:tc>
          <w:tcPr>
            <w:tcW w:w="8554" w:type="dxa"/>
            <w:tcBorders/>
            <w:vAlign w:val="center"/>
          </w:tcPr>
          <w:p>
            <w:pPr>
              <w:pStyle w:val="TableContents"/>
              <w:bidi w:val="0"/>
              <w:spacing w:before="0" w:after="283"/>
              <w:jc w:val="left"/>
              <w:rPr/>
            </w:pPr>
            <w:r>
              <w:rPr/>
              <w:t>Designs, builds and deploys the system; must have demonstrated microservices/Kafka/AWS ECS delivery experience (03_Feasibility Study, Section 3.4)</w:t>
            </w:r>
          </w:p>
        </w:tc>
      </w:tr>
      <w:tr>
        <w:trPr/>
        <w:tc>
          <w:tcPr>
            <w:tcW w:w="2785" w:type="dxa"/>
            <w:tcBorders/>
            <w:vAlign w:val="center"/>
          </w:tcPr>
          <w:p>
            <w:pPr>
              <w:pStyle w:val="TableContents"/>
              <w:bidi w:val="0"/>
              <w:spacing w:before="0" w:after="283"/>
              <w:jc w:val="left"/>
              <w:rPr/>
            </w:pPr>
            <w:r>
              <w:rPr/>
              <w:t>External auditors</w:t>
            </w:r>
          </w:p>
        </w:tc>
        <w:tc>
          <w:tcPr>
            <w:tcW w:w="8554" w:type="dxa"/>
            <w:tcBorders/>
            <w:vAlign w:val="center"/>
          </w:tcPr>
          <w:p>
            <w:pPr>
              <w:pStyle w:val="TableContents"/>
              <w:bidi w:val="0"/>
              <w:spacing w:before="0" w:after="283"/>
              <w:jc w:val="left"/>
              <w:rPr/>
            </w:pPr>
            <w:r>
              <w:rPr/>
              <w:t>Rely on system audit trails and financial reports</w:t>
            </w:r>
          </w:p>
        </w:tc>
      </w:tr>
      <w:tr>
        <w:trPr/>
        <w:tc>
          <w:tcPr>
            <w:tcW w:w="2785" w:type="dxa"/>
            <w:tcBorders/>
            <w:vAlign w:val="center"/>
          </w:tcPr>
          <w:p>
            <w:pPr>
              <w:pStyle w:val="TableContents"/>
              <w:bidi w:val="0"/>
              <w:spacing w:before="0" w:after="283"/>
              <w:jc w:val="left"/>
              <w:rPr/>
            </w:pPr>
            <w:r>
              <w:rPr/>
              <w:t>Equity Bank (Uganda) Limited</w:t>
            </w:r>
          </w:p>
        </w:tc>
        <w:tc>
          <w:tcPr>
            <w:tcW w:w="8554" w:type="dxa"/>
            <w:tcBorders/>
            <w:vAlign w:val="center"/>
          </w:tcPr>
          <w:p>
            <w:pPr>
              <w:pStyle w:val="TableContents"/>
              <w:bidi w:val="0"/>
              <w:spacing w:before="0" w:after="283"/>
              <w:jc w:val="left"/>
              <w:rPr/>
            </w:pPr>
            <w:r>
              <w:rPr/>
              <w:t>Existing banking partner; relevant both to later banking-integration phases and as a potential financing source (see Section 9.4)</w:t>
            </w:r>
          </w:p>
        </w:tc>
      </w:tr>
    </w:tbl>
    <w:p>
      <w:pPr>
        <w:pStyle w:val="Heading2"/>
        <w:bidi w:val="0"/>
        <w:jc w:val="left"/>
        <w:rPr/>
      </w:pPr>
      <w:r>
        <w:rPr/>
        <w:t>8. Indicative Timeline</w:t>
      </w:r>
    </w:p>
    <w:tbl>
      <w:tblPr>
        <w:tblW w:w="11339" w:type="dxa"/>
        <w:jc w:val="left"/>
        <w:tblInd w:w="28" w:type="dxa"/>
        <w:tblLayout w:type="fixed"/>
        <w:tblCellMar>
          <w:top w:w="28" w:type="dxa"/>
          <w:left w:w="28" w:type="dxa"/>
          <w:bottom w:w="28" w:type="dxa"/>
          <w:right w:w="28" w:type="dxa"/>
        </w:tblCellMar>
      </w:tblPr>
      <w:tblGrid>
        <w:gridCol w:w="711"/>
        <w:gridCol w:w="10628"/>
      </w:tblGrid>
      <w:tr>
        <w:trPr/>
        <w:tc>
          <w:tcPr>
            <w:tcW w:w="711" w:type="dxa"/>
            <w:tcBorders/>
            <w:vAlign w:val="center"/>
          </w:tcPr>
          <w:p>
            <w:pPr>
              <w:pStyle w:val="TableHeading"/>
              <w:suppressLineNumbers/>
              <w:shd w:fill="1F3864" w:val="clear"/>
              <w:bidi w:val="0"/>
              <w:spacing w:before="0" w:after="283"/>
              <w:jc w:val="left"/>
              <w:rPr/>
            </w:pPr>
            <w:r>
              <w:rPr/>
              <w:t>Stage</w:t>
            </w:r>
          </w:p>
        </w:tc>
        <w:tc>
          <w:tcPr>
            <w:tcW w:w="10628" w:type="dxa"/>
            <w:tcBorders/>
            <w:vAlign w:val="center"/>
          </w:tcPr>
          <w:p>
            <w:pPr>
              <w:pStyle w:val="TableHeading"/>
              <w:suppressLineNumbers/>
              <w:shd w:fill="1F3864" w:val="clear"/>
              <w:bidi w:val="0"/>
              <w:spacing w:before="0" w:after="283"/>
              <w:jc w:val="left"/>
              <w:rPr/>
            </w:pPr>
            <w:r>
              <w:rPr/>
              <w:t>Milestone</w:t>
            </w:r>
          </w:p>
        </w:tc>
      </w:tr>
      <w:tr>
        <w:trPr/>
        <w:tc>
          <w:tcPr>
            <w:tcW w:w="711" w:type="dxa"/>
            <w:tcBorders/>
            <w:vAlign w:val="center"/>
          </w:tcPr>
          <w:p>
            <w:pPr>
              <w:pStyle w:val="TableContents"/>
              <w:bidi w:val="0"/>
              <w:spacing w:before="0" w:after="283"/>
              <w:jc w:val="left"/>
              <w:rPr/>
            </w:pPr>
            <w:r>
              <w:rPr/>
              <w:t>1</w:t>
            </w:r>
          </w:p>
        </w:tc>
        <w:tc>
          <w:tcPr>
            <w:tcW w:w="10628" w:type="dxa"/>
            <w:tcBorders/>
            <w:vAlign w:val="center"/>
          </w:tcPr>
          <w:p>
            <w:pPr>
              <w:pStyle w:val="TableContents"/>
              <w:bidi w:val="0"/>
              <w:spacing w:before="0" w:after="283"/>
              <w:jc w:val="left"/>
              <w:rPr/>
            </w:pPr>
            <w:r>
              <w:rPr/>
              <w:t>Board reviews and approves this Proposal</w:t>
            </w:r>
          </w:p>
        </w:tc>
      </w:tr>
      <w:tr>
        <w:trPr/>
        <w:tc>
          <w:tcPr>
            <w:tcW w:w="711" w:type="dxa"/>
            <w:tcBorders/>
            <w:vAlign w:val="center"/>
          </w:tcPr>
          <w:p>
            <w:pPr>
              <w:pStyle w:val="TableContents"/>
              <w:bidi w:val="0"/>
              <w:spacing w:before="0" w:after="283"/>
              <w:jc w:val="left"/>
              <w:rPr/>
            </w:pPr>
            <w:r>
              <w:rPr/>
              <w:t>2</w:t>
            </w:r>
          </w:p>
        </w:tc>
        <w:tc>
          <w:tcPr>
            <w:tcW w:w="10628" w:type="dxa"/>
            <w:tcBorders/>
            <w:vAlign w:val="center"/>
          </w:tcPr>
          <w:p>
            <w:pPr>
              <w:pStyle w:val="TableContents"/>
              <w:bidi w:val="0"/>
              <w:spacing w:before="0" w:after="283"/>
              <w:jc w:val="left"/>
              <w:rPr/>
            </w:pPr>
            <w:r>
              <w:rPr/>
              <w:t>Project Charter, Feasibility Study, Software Requirements Specification and System Design Document — completed</w:t>
            </w:r>
          </w:p>
        </w:tc>
      </w:tr>
      <w:tr>
        <w:trPr/>
        <w:tc>
          <w:tcPr>
            <w:tcW w:w="711" w:type="dxa"/>
            <w:tcBorders/>
            <w:vAlign w:val="center"/>
          </w:tcPr>
          <w:p>
            <w:pPr>
              <w:pStyle w:val="TableContents"/>
              <w:bidi w:val="0"/>
              <w:spacing w:before="0" w:after="283"/>
              <w:jc w:val="left"/>
              <w:rPr/>
            </w:pPr>
            <w:r>
              <w:rPr/>
              <w:t>3</w:t>
            </w:r>
          </w:p>
        </w:tc>
        <w:tc>
          <w:tcPr>
            <w:tcW w:w="10628" w:type="dxa"/>
            <w:tcBorders/>
            <w:vAlign w:val="center"/>
          </w:tcPr>
          <w:p>
            <w:pPr>
              <w:pStyle w:val="TableContents"/>
              <w:bidi w:val="0"/>
              <w:spacing w:before="0" w:after="283"/>
              <w:jc w:val="left"/>
              <w:rPr/>
            </w:pPr>
            <w:r>
              <w:rPr/>
              <w:t>Database design and UI/UX design</w:t>
            </w:r>
          </w:p>
        </w:tc>
      </w:tr>
      <w:tr>
        <w:trPr/>
        <w:tc>
          <w:tcPr>
            <w:tcW w:w="711" w:type="dxa"/>
            <w:tcBorders/>
            <w:vAlign w:val="center"/>
          </w:tcPr>
          <w:p>
            <w:pPr>
              <w:pStyle w:val="TableContents"/>
              <w:bidi w:val="0"/>
              <w:spacing w:before="0" w:after="283"/>
              <w:jc w:val="left"/>
              <w:rPr/>
            </w:pPr>
            <w:r>
              <w:rPr/>
              <w:t>4</w:t>
            </w:r>
          </w:p>
        </w:tc>
        <w:tc>
          <w:tcPr>
            <w:tcW w:w="10628" w:type="dxa"/>
            <w:tcBorders/>
            <w:vAlign w:val="center"/>
          </w:tcPr>
          <w:p>
            <w:pPr>
              <w:pStyle w:val="TableContents"/>
              <w:bidi w:val="0"/>
              <w:spacing w:before="0" w:after="283"/>
              <w:jc w:val="left"/>
              <w:rPr/>
            </w:pPr>
            <w:r>
              <w:rPr/>
              <w:t>Phase 1 (Core/MVP) development and internal testing</w:t>
            </w:r>
          </w:p>
        </w:tc>
      </w:tr>
      <w:tr>
        <w:trPr/>
        <w:tc>
          <w:tcPr>
            <w:tcW w:w="711" w:type="dxa"/>
            <w:tcBorders/>
            <w:vAlign w:val="center"/>
          </w:tcPr>
          <w:p>
            <w:pPr>
              <w:pStyle w:val="TableContents"/>
              <w:bidi w:val="0"/>
              <w:spacing w:before="0" w:after="283"/>
              <w:jc w:val="left"/>
              <w:rPr/>
            </w:pPr>
            <w:r>
              <w:rPr/>
              <w:t>5</w:t>
            </w:r>
          </w:p>
        </w:tc>
        <w:tc>
          <w:tcPr>
            <w:tcW w:w="10628" w:type="dxa"/>
            <w:tcBorders/>
            <w:vAlign w:val="center"/>
          </w:tcPr>
          <w:p>
            <w:pPr>
              <w:pStyle w:val="TableContents"/>
              <w:bidi w:val="0"/>
              <w:spacing w:before="0" w:after="283"/>
              <w:jc w:val="left"/>
              <w:rPr/>
            </w:pPr>
            <w:r>
              <w:rPr/>
              <w:t>User Acceptance Testing with department representatives</w:t>
            </w:r>
          </w:p>
        </w:tc>
      </w:tr>
      <w:tr>
        <w:trPr/>
        <w:tc>
          <w:tcPr>
            <w:tcW w:w="711" w:type="dxa"/>
            <w:tcBorders/>
            <w:vAlign w:val="center"/>
          </w:tcPr>
          <w:p>
            <w:pPr>
              <w:pStyle w:val="TableContents"/>
              <w:bidi w:val="0"/>
              <w:spacing w:before="0" w:after="283"/>
              <w:jc w:val="left"/>
              <w:rPr/>
            </w:pPr>
            <w:r>
              <w:rPr/>
              <w:t>6</w:t>
            </w:r>
          </w:p>
        </w:tc>
        <w:tc>
          <w:tcPr>
            <w:tcW w:w="10628" w:type="dxa"/>
            <w:tcBorders/>
            <w:vAlign w:val="center"/>
          </w:tcPr>
          <w:p>
            <w:pPr>
              <w:pStyle w:val="TableContents"/>
              <w:bidi w:val="0"/>
              <w:spacing w:before="0" w:after="283"/>
              <w:jc w:val="left"/>
              <w:rPr/>
            </w:pPr>
            <w:r>
              <w:rPr/>
              <w:t>Pilot deployment to one subsidiary; issue resolution</w:t>
            </w:r>
          </w:p>
        </w:tc>
      </w:tr>
      <w:tr>
        <w:trPr/>
        <w:tc>
          <w:tcPr>
            <w:tcW w:w="711" w:type="dxa"/>
            <w:tcBorders/>
            <w:vAlign w:val="center"/>
          </w:tcPr>
          <w:p>
            <w:pPr>
              <w:pStyle w:val="TableContents"/>
              <w:bidi w:val="0"/>
              <w:spacing w:before="0" w:after="283"/>
              <w:jc w:val="left"/>
              <w:rPr/>
            </w:pPr>
            <w:r>
              <w:rPr/>
              <w:t>7</w:t>
            </w:r>
          </w:p>
        </w:tc>
        <w:tc>
          <w:tcPr>
            <w:tcW w:w="10628" w:type="dxa"/>
            <w:tcBorders/>
            <w:vAlign w:val="center"/>
          </w:tcPr>
          <w:p>
            <w:pPr>
              <w:pStyle w:val="TableContents"/>
              <w:bidi w:val="0"/>
              <w:spacing w:before="0" w:after="283"/>
              <w:jc w:val="left"/>
              <w:rPr/>
            </w:pPr>
            <w:r>
              <w:rPr/>
              <w:t>Phased rollout across remaining subsidiaries and branches</w:t>
            </w:r>
          </w:p>
        </w:tc>
      </w:tr>
      <w:tr>
        <w:trPr/>
        <w:tc>
          <w:tcPr>
            <w:tcW w:w="711" w:type="dxa"/>
            <w:tcBorders/>
            <w:vAlign w:val="center"/>
          </w:tcPr>
          <w:p>
            <w:pPr>
              <w:pStyle w:val="TableContents"/>
              <w:bidi w:val="0"/>
              <w:spacing w:before="0" w:after="283"/>
              <w:jc w:val="left"/>
              <w:rPr/>
            </w:pPr>
            <w:r>
              <w:rPr/>
              <w:t>8</w:t>
            </w:r>
          </w:p>
        </w:tc>
        <w:tc>
          <w:tcPr>
            <w:tcW w:w="10628" w:type="dxa"/>
            <w:tcBorders/>
            <w:vAlign w:val="center"/>
          </w:tcPr>
          <w:p>
            <w:pPr>
              <w:pStyle w:val="TableContents"/>
              <w:bidi w:val="0"/>
              <w:spacing w:before="0" w:after="283"/>
              <w:jc w:val="left"/>
              <w:rPr/>
            </w:pPr>
            <w:r>
              <w:rPr/>
              <w:t>Phases 2–5, each separately proposed and approved</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Schedule caveat:</w:t>
      </w:r>
      <w:r>
        <w:rPr>
          <w:sz w:val="21"/>
          <w:bdr w:val="single" w:sz="24" w:space="9" w:color="D98C00"/>
          <w:shd w:fill="FFF4E5" w:val="clear"/>
        </w:rPr>
        <w:t xml:space="preserve"> the Feasibility Study's original "two to four months" estimate for Phase 1 was built assuming the simpler modular-monolith design. Building eight microservices, an event bus and an observability stack from day one (per 07_System Design Document) is additional work that estimate did not capture. The Board should treat this timeline as provisional until re-estimated by the engaged development team against the microservices architecture.</w:t>
      </w:r>
    </w:p>
    <w:p>
      <w:pPr>
        <w:pStyle w:val="Heading2"/>
        <w:bidi w:val="0"/>
        <w:jc w:val="left"/>
        <w:rPr/>
      </w:pPr>
      <w:r>
        <w:rPr/>
        <w:t>9. Estimated Costs and Funding</w:t>
      </w:r>
    </w:p>
    <w:p>
      <w:pPr>
        <w:pStyle w:val="BodyText"/>
        <w:bidi w:val="0"/>
        <w:jc w:val="left"/>
        <w:rPr/>
      </w:pPr>
      <w:r>
        <w:rPr/>
        <w:t xml:space="preserve">No development, hosting or licensing quotations have yet been obtained, so this section deliberately does not state fixed monetary figures. Instead, it sets out the cost structure, cost drivers, estimation approach and realistic funding options so the Board can approve a funding </w:t>
      </w:r>
      <w:r>
        <w:rPr>
          <w:i/>
        </w:rPr>
        <w:t>process</w:t>
      </w:r>
      <w:r>
        <w:rPr/>
        <w:t xml:space="preserve"> now and a funding </w:t>
      </w:r>
      <w:r>
        <w:rPr>
          <w:i/>
        </w:rPr>
        <w:t>amount</w:t>
      </w:r>
      <w:r>
        <w:rPr/>
        <w:t xml:space="preserve"> once vendor quotations are obtained. </w:t>
      </w:r>
      <w:r>
        <w:rPr>
          <w:b/>
        </w:rPr>
        <w:t>The microservices architecture direction (Section 6) means these quotations should now be scoped against 07_System Design Document, and are expected to come in higher than an equivalent monolith-based quotation would have.</w:t>
      </w:r>
    </w:p>
    <w:p>
      <w:pPr>
        <w:pStyle w:val="Heading3"/>
        <w:bidi w:val="0"/>
        <w:jc w:val="left"/>
        <w:rPr/>
      </w:pPr>
      <w:r>
        <w:rPr/>
        <w:t>9.1 Cost Categories</w:t>
      </w:r>
    </w:p>
    <w:tbl>
      <w:tblPr>
        <w:tblW w:w="11339" w:type="dxa"/>
        <w:jc w:val="left"/>
        <w:tblInd w:w="28" w:type="dxa"/>
        <w:tblLayout w:type="fixed"/>
        <w:tblCellMar>
          <w:top w:w="28" w:type="dxa"/>
          <w:left w:w="28" w:type="dxa"/>
          <w:bottom w:w="28" w:type="dxa"/>
          <w:right w:w="28" w:type="dxa"/>
        </w:tblCellMar>
      </w:tblPr>
      <w:tblGrid>
        <w:gridCol w:w="2102"/>
        <w:gridCol w:w="1447"/>
        <w:gridCol w:w="7790"/>
      </w:tblGrid>
      <w:tr>
        <w:trPr/>
        <w:tc>
          <w:tcPr>
            <w:tcW w:w="2102" w:type="dxa"/>
            <w:tcBorders/>
            <w:vAlign w:val="center"/>
          </w:tcPr>
          <w:p>
            <w:pPr>
              <w:pStyle w:val="TableHeading"/>
              <w:suppressLineNumbers/>
              <w:shd w:fill="1F3864" w:val="clear"/>
              <w:bidi w:val="0"/>
              <w:spacing w:before="0" w:after="283"/>
              <w:jc w:val="left"/>
              <w:rPr/>
            </w:pPr>
            <w:r>
              <w:rPr/>
              <w:t>Category</w:t>
            </w:r>
          </w:p>
        </w:tc>
        <w:tc>
          <w:tcPr>
            <w:tcW w:w="1447" w:type="dxa"/>
            <w:tcBorders/>
            <w:vAlign w:val="center"/>
          </w:tcPr>
          <w:p>
            <w:pPr>
              <w:pStyle w:val="TableHeading"/>
              <w:suppressLineNumbers/>
              <w:shd w:fill="1F3864" w:val="clear"/>
              <w:bidi w:val="0"/>
              <w:spacing w:before="0" w:after="283"/>
              <w:jc w:val="left"/>
              <w:rPr/>
            </w:pPr>
            <w:r>
              <w:rPr/>
              <w:t>Nature</w:t>
            </w:r>
          </w:p>
        </w:tc>
        <w:tc>
          <w:tcPr>
            <w:tcW w:w="7790" w:type="dxa"/>
            <w:tcBorders/>
            <w:vAlign w:val="center"/>
          </w:tcPr>
          <w:p>
            <w:pPr>
              <w:pStyle w:val="TableHeading"/>
              <w:suppressLineNumbers/>
              <w:shd w:fill="1F3864" w:val="clear"/>
              <w:bidi w:val="0"/>
              <w:spacing w:before="0" w:after="283"/>
              <w:jc w:val="left"/>
              <w:rPr/>
            </w:pPr>
            <w:r>
              <w:rPr/>
              <w:t>Description / Cost Drivers</w:t>
            </w:r>
          </w:p>
        </w:tc>
      </w:tr>
      <w:tr>
        <w:trPr/>
        <w:tc>
          <w:tcPr>
            <w:tcW w:w="2102" w:type="dxa"/>
            <w:tcBorders/>
            <w:vAlign w:val="center"/>
          </w:tcPr>
          <w:p>
            <w:pPr>
              <w:pStyle w:val="TableContents"/>
              <w:bidi w:val="0"/>
              <w:spacing w:before="0" w:after="283"/>
              <w:jc w:val="left"/>
              <w:rPr/>
            </w:pPr>
            <w:r>
              <w:rPr/>
              <w:t>Requirements &amp; Feasibility</w:t>
            </w:r>
          </w:p>
        </w:tc>
        <w:tc>
          <w:tcPr>
            <w:tcW w:w="1447" w:type="dxa"/>
            <w:tcBorders/>
            <w:vAlign w:val="center"/>
          </w:tcPr>
          <w:p>
            <w:pPr>
              <w:pStyle w:val="TableContents"/>
              <w:bidi w:val="0"/>
              <w:spacing w:before="0" w:after="283"/>
              <w:jc w:val="left"/>
              <w:rPr/>
            </w:pPr>
            <w:r>
              <w:rPr/>
              <w:t>One-time</w:t>
            </w:r>
          </w:p>
        </w:tc>
        <w:tc>
          <w:tcPr>
            <w:tcW w:w="7790" w:type="dxa"/>
            <w:tcBorders/>
            <w:vAlign w:val="center"/>
          </w:tcPr>
          <w:p>
            <w:pPr>
              <w:pStyle w:val="TableContents"/>
              <w:bidi w:val="0"/>
              <w:spacing w:before="0" w:after="283"/>
              <w:jc w:val="left"/>
              <w:rPr/>
            </w:pPr>
            <w:r>
              <w:rPr/>
              <w:t>Analyst/consultant time to interview stakeholders, produce the Feasibility Study and SRS — now complete.</w:t>
            </w:r>
          </w:p>
        </w:tc>
      </w:tr>
      <w:tr>
        <w:trPr/>
        <w:tc>
          <w:tcPr>
            <w:tcW w:w="2102" w:type="dxa"/>
            <w:tcBorders/>
            <w:vAlign w:val="center"/>
          </w:tcPr>
          <w:p>
            <w:pPr>
              <w:pStyle w:val="TableContents"/>
              <w:bidi w:val="0"/>
              <w:spacing w:before="0" w:after="283"/>
              <w:jc w:val="left"/>
              <w:rPr/>
            </w:pPr>
            <w:r>
              <w:rPr/>
              <w:t>Design (architecture, database, UI/UX)</w:t>
            </w:r>
          </w:p>
        </w:tc>
        <w:tc>
          <w:tcPr>
            <w:tcW w:w="1447" w:type="dxa"/>
            <w:tcBorders/>
            <w:vAlign w:val="center"/>
          </w:tcPr>
          <w:p>
            <w:pPr>
              <w:pStyle w:val="TableContents"/>
              <w:bidi w:val="0"/>
              <w:spacing w:before="0" w:after="283"/>
              <w:jc w:val="left"/>
              <w:rPr/>
            </w:pPr>
            <w:r>
              <w:rPr/>
              <w:t>One-time</w:t>
            </w:r>
          </w:p>
        </w:tc>
        <w:tc>
          <w:tcPr>
            <w:tcW w:w="7790" w:type="dxa"/>
            <w:tcBorders/>
            <w:vAlign w:val="center"/>
          </w:tcPr>
          <w:p>
            <w:pPr>
              <w:pStyle w:val="TableContents"/>
              <w:bidi w:val="0"/>
              <w:spacing w:before="0" w:after="283"/>
              <w:jc w:val="left"/>
              <w:rPr/>
            </w:pPr>
            <w:r>
              <w:rPr/>
              <w:t>Solution architecture, per-service database schema and interface design effort before coding begins.</w:t>
            </w:r>
          </w:p>
        </w:tc>
      </w:tr>
      <w:tr>
        <w:trPr/>
        <w:tc>
          <w:tcPr>
            <w:tcW w:w="2102" w:type="dxa"/>
            <w:tcBorders/>
            <w:vAlign w:val="center"/>
          </w:tcPr>
          <w:p>
            <w:pPr>
              <w:pStyle w:val="TableContents"/>
              <w:bidi w:val="0"/>
              <w:spacing w:before="0" w:after="283"/>
              <w:jc w:val="left"/>
              <w:rPr/>
            </w:pPr>
            <w:r>
              <w:rPr/>
              <w:t>Development &amp; Integration</w:t>
            </w:r>
          </w:p>
        </w:tc>
        <w:tc>
          <w:tcPr>
            <w:tcW w:w="1447" w:type="dxa"/>
            <w:tcBorders/>
            <w:vAlign w:val="center"/>
          </w:tcPr>
          <w:p>
            <w:pPr>
              <w:pStyle w:val="TableContents"/>
              <w:bidi w:val="0"/>
              <w:spacing w:before="0" w:after="283"/>
              <w:jc w:val="left"/>
              <w:rPr/>
            </w:pPr>
            <w:r>
              <w:rPr/>
              <w:t>One-time per phase</w:t>
            </w:r>
          </w:p>
        </w:tc>
        <w:tc>
          <w:tcPr>
            <w:tcW w:w="7790" w:type="dxa"/>
            <w:tcBorders/>
            <w:vAlign w:val="center"/>
          </w:tcPr>
          <w:p>
            <w:pPr>
              <w:pStyle w:val="TableContents"/>
              <w:bidi w:val="0"/>
              <w:spacing w:before="0" w:after="283"/>
              <w:jc w:val="left"/>
              <w:rPr/>
            </w:pPr>
            <w:r>
              <w:rPr/>
              <w:t>The largest cost component. Now driven by the number of independent services (eight for Phase 1) as well as module count, developer/team size, and whether built in-house or via an external technology partner experienced with the confirmed microservices stack.</w:t>
            </w:r>
          </w:p>
        </w:tc>
      </w:tr>
      <w:tr>
        <w:trPr/>
        <w:tc>
          <w:tcPr>
            <w:tcW w:w="2102" w:type="dxa"/>
            <w:tcBorders/>
            <w:vAlign w:val="center"/>
          </w:tcPr>
          <w:p>
            <w:pPr>
              <w:pStyle w:val="TableContents"/>
              <w:bidi w:val="0"/>
              <w:spacing w:before="0" w:after="283"/>
              <w:jc w:val="left"/>
              <w:rPr/>
            </w:pPr>
            <w:r>
              <w:rPr/>
              <w:t>Testing &amp; UAT</w:t>
            </w:r>
          </w:p>
        </w:tc>
        <w:tc>
          <w:tcPr>
            <w:tcW w:w="1447" w:type="dxa"/>
            <w:tcBorders/>
            <w:vAlign w:val="center"/>
          </w:tcPr>
          <w:p>
            <w:pPr>
              <w:pStyle w:val="TableContents"/>
              <w:bidi w:val="0"/>
              <w:spacing w:before="0" w:after="283"/>
              <w:jc w:val="left"/>
              <w:rPr/>
            </w:pPr>
            <w:r>
              <w:rPr/>
              <w:t>One-time per phase</w:t>
            </w:r>
          </w:p>
        </w:tc>
        <w:tc>
          <w:tcPr>
            <w:tcW w:w="7790" w:type="dxa"/>
            <w:tcBorders/>
            <w:vAlign w:val="center"/>
          </w:tcPr>
          <w:p>
            <w:pPr>
              <w:pStyle w:val="TableContents"/>
              <w:bidi w:val="0"/>
              <w:spacing w:before="0" w:after="283"/>
              <w:jc w:val="left"/>
              <w:rPr/>
            </w:pPr>
            <w:r>
              <w:rPr/>
              <w:t>QA effort, security testing, cross-service integration testing, and staff time from department representatives participating in User Acceptance Testing.</w:t>
            </w:r>
          </w:p>
        </w:tc>
      </w:tr>
      <w:tr>
        <w:trPr/>
        <w:tc>
          <w:tcPr>
            <w:tcW w:w="2102" w:type="dxa"/>
            <w:tcBorders/>
            <w:vAlign w:val="center"/>
          </w:tcPr>
          <w:p>
            <w:pPr>
              <w:pStyle w:val="TableContents"/>
              <w:bidi w:val="0"/>
              <w:spacing w:before="0" w:after="283"/>
              <w:jc w:val="left"/>
              <w:rPr/>
            </w:pPr>
            <w:r>
              <w:rPr/>
              <w:t>Infrastructure &amp; Hosting</w:t>
            </w:r>
          </w:p>
        </w:tc>
        <w:tc>
          <w:tcPr>
            <w:tcW w:w="1447" w:type="dxa"/>
            <w:tcBorders/>
            <w:vAlign w:val="center"/>
          </w:tcPr>
          <w:p>
            <w:pPr>
              <w:pStyle w:val="TableContents"/>
              <w:bidi w:val="0"/>
              <w:spacing w:before="0" w:after="283"/>
              <w:jc w:val="left"/>
              <w:rPr/>
            </w:pPr>
            <w:r>
              <w:rPr/>
              <w:t>Recurring</w:t>
            </w:r>
          </w:p>
        </w:tc>
        <w:tc>
          <w:tcPr>
            <w:tcW w:w="7790" w:type="dxa"/>
            <w:tcBorders/>
            <w:vAlign w:val="center"/>
          </w:tcPr>
          <w:p>
            <w:pPr>
              <w:pStyle w:val="TableContents"/>
              <w:bidi w:val="0"/>
              <w:spacing w:before="0" w:after="283"/>
              <w:jc w:val="left"/>
              <w:rPr/>
            </w:pPr>
            <w:r>
              <w:rPr/>
              <w:t>AWS ECS per service, one or more managed PostgreSQL instances, managed or self-hosted Kafka, Redis, and the full observability stack (Prometheus/Grafana, Jaeger, EFK) — all now Phase 1 costs, not deferred.</w:t>
            </w:r>
          </w:p>
        </w:tc>
      </w:tr>
      <w:tr>
        <w:trPr/>
        <w:tc>
          <w:tcPr>
            <w:tcW w:w="2102" w:type="dxa"/>
            <w:tcBorders/>
            <w:vAlign w:val="center"/>
          </w:tcPr>
          <w:p>
            <w:pPr>
              <w:pStyle w:val="TableContents"/>
              <w:bidi w:val="0"/>
              <w:spacing w:before="0" w:after="283"/>
              <w:jc w:val="left"/>
              <w:rPr/>
            </w:pPr>
            <w:r>
              <w:rPr/>
              <w:t>Software Licensing</w:t>
            </w:r>
          </w:p>
        </w:tc>
        <w:tc>
          <w:tcPr>
            <w:tcW w:w="1447" w:type="dxa"/>
            <w:tcBorders/>
            <w:vAlign w:val="center"/>
          </w:tcPr>
          <w:p>
            <w:pPr>
              <w:pStyle w:val="TableContents"/>
              <w:bidi w:val="0"/>
              <w:spacing w:before="0" w:after="283"/>
              <w:jc w:val="left"/>
              <w:rPr/>
            </w:pPr>
            <w:r>
              <w:rPr/>
              <w:t>Recurring</w:t>
            </w:r>
          </w:p>
        </w:tc>
        <w:tc>
          <w:tcPr>
            <w:tcW w:w="7790" w:type="dxa"/>
            <w:tcBorders/>
            <w:vAlign w:val="center"/>
          </w:tcPr>
          <w:p>
            <w:pPr>
              <w:pStyle w:val="TableContents"/>
              <w:bidi w:val="0"/>
              <w:spacing w:before="0" w:after="283"/>
              <w:jc w:val="left"/>
              <w:rPr/>
            </w:pPr>
            <w:r>
              <w:rPr/>
              <w:t>Any third-party libraries, frameworks or SaaS tools requiring paid licenses.</w:t>
            </w:r>
          </w:p>
        </w:tc>
      </w:tr>
      <w:tr>
        <w:trPr/>
        <w:tc>
          <w:tcPr>
            <w:tcW w:w="2102" w:type="dxa"/>
            <w:tcBorders/>
            <w:vAlign w:val="center"/>
          </w:tcPr>
          <w:p>
            <w:pPr>
              <w:pStyle w:val="TableContents"/>
              <w:bidi w:val="0"/>
              <w:spacing w:before="0" w:after="283"/>
              <w:jc w:val="left"/>
              <w:rPr/>
            </w:pPr>
            <w:r>
              <w:rPr/>
              <w:t>Security &amp; Compliance</w:t>
            </w:r>
          </w:p>
        </w:tc>
        <w:tc>
          <w:tcPr>
            <w:tcW w:w="1447" w:type="dxa"/>
            <w:tcBorders/>
            <w:vAlign w:val="center"/>
          </w:tcPr>
          <w:p>
            <w:pPr>
              <w:pStyle w:val="TableContents"/>
              <w:bidi w:val="0"/>
              <w:spacing w:before="0" w:after="283"/>
              <w:jc w:val="left"/>
              <w:rPr/>
            </w:pPr>
            <w:r>
              <w:rPr/>
              <w:t>One-time + recurring</w:t>
            </w:r>
          </w:p>
        </w:tc>
        <w:tc>
          <w:tcPr>
            <w:tcW w:w="7790" w:type="dxa"/>
            <w:tcBorders/>
            <w:vAlign w:val="center"/>
          </w:tcPr>
          <w:p>
            <w:pPr>
              <w:pStyle w:val="TableContents"/>
              <w:bidi w:val="0"/>
              <w:spacing w:before="0" w:after="283"/>
              <w:jc w:val="left"/>
              <w:rPr/>
            </w:pPr>
            <w:r>
              <w:rPr/>
              <w:t>Initial security hardening/penetration testing, plus ongoing monitoring, certificate renewal and periodic security audits, now spanning multiple services.</w:t>
            </w:r>
          </w:p>
        </w:tc>
      </w:tr>
      <w:tr>
        <w:trPr/>
        <w:tc>
          <w:tcPr>
            <w:tcW w:w="2102" w:type="dxa"/>
            <w:tcBorders/>
            <w:vAlign w:val="center"/>
          </w:tcPr>
          <w:p>
            <w:pPr>
              <w:pStyle w:val="TableContents"/>
              <w:bidi w:val="0"/>
              <w:spacing w:before="0" w:after="283"/>
              <w:jc w:val="left"/>
              <w:rPr/>
            </w:pPr>
            <w:r>
              <w:rPr/>
              <w:t>Data Migration</w:t>
            </w:r>
          </w:p>
        </w:tc>
        <w:tc>
          <w:tcPr>
            <w:tcW w:w="1447" w:type="dxa"/>
            <w:tcBorders/>
            <w:vAlign w:val="center"/>
          </w:tcPr>
          <w:p>
            <w:pPr>
              <w:pStyle w:val="TableContents"/>
              <w:bidi w:val="0"/>
              <w:spacing w:before="0" w:after="283"/>
              <w:jc w:val="left"/>
              <w:rPr/>
            </w:pPr>
            <w:r>
              <w:rPr/>
              <w:t>One-time per phase</w:t>
            </w:r>
          </w:p>
        </w:tc>
        <w:tc>
          <w:tcPr>
            <w:tcW w:w="7790" w:type="dxa"/>
            <w:tcBorders/>
            <w:vAlign w:val="center"/>
          </w:tcPr>
          <w:p>
            <w:pPr>
              <w:pStyle w:val="TableContents"/>
              <w:bidi w:val="0"/>
              <w:spacing w:before="0" w:after="283"/>
              <w:jc w:val="left"/>
              <w:rPr/>
            </w:pPr>
            <w:r>
              <w:rPr/>
              <w:t>Cleaning, validating and importing existing spreadsheet/manual records into the new system for each company as it goes live.</w:t>
            </w:r>
          </w:p>
        </w:tc>
      </w:tr>
      <w:tr>
        <w:trPr/>
        <w:tc>
          <w:tcPr>
            <w:tcW w:w="2102" w:type="dxa"/>
            <w:tcBorders/>
            <w:vAlign w:val="center"/>
          </w:tcPr>
          <w:p>
            <w:pPr>
              <w:pStyle w:val="TableContents"/>
              <w:bidi w:val="0"/>
              <w:spacing w:before="0" w:after="283"/>
              <w:jc w:val="left"/>
              <w:rPr/>
            </w:pPr>
            <w:r>
              <w:rPr/>
              <w:t>Training</w:t>
            </w:r>
          </w:p>
        </w:tc>
        <w:tc>
          <w:tcPr>
            <w:tcW w:w="1447" w:type="dxa"/>
            <w:tcBorders/>
            <w:vAlign w:val="center"/>
          </w:tcPr>
          <w:p>
            <w:pPr>
              <w:pStyle w:val="TableContents"/>
              <w:bidi w:val="0"/>
              <w:spacing w:before="0" w:after="283"/>
              <w:jc w:val="left"/>
              <w:rPr/>
            </w:pPr>
            <w:r>
              <w:rPr/>
              <w:t>One-time per phase</w:t>
            </w:r>
          </w:p>
        </w:tc>
        <w:tc>
          <w:tcPr>
            <w:tcW w:w="7790" w:type="dxa"/>
            <w:tcBorders/>
            <w:vAlign w:val="center"/>
          </w:tcPr>
          <w:p>
            <w:pPr>
              <w:pStyle w:val="TableContents"/>
              <w:bidi w:val="0"/>
              <w:spacing w:before="0" w:after="283"/>
              <w:jc w:val="left"/>
              <w:rPr/>
            </w:pPr>
            <w:r>
              <w:rPr/>
              <w:t>Role-based training for each user group as each phase and each subsidiary goes live.</w:t>
            </w:r>
          </w:p>
        </w:tc>
      </w:tr>
      <w:tr>
        <w:trPr/>
        <w:tc>
          <w:tcPr>
            <w:tcW w:w="2102" w:type="dxa"/>
            <w:tcBorders/>
            <w:vAlign w:val="center"/>
          </w:tcPr>
          <w:p>
            <w:pPr>
              <w:pStyle w:val="TableContents"/>
              <w:bidi w:val="0"/>
              <w:spacing w:before="0" w:after="283"/>
              <w:jc w:val="left"/>
              <w:rPr/>
            </w:pPr>
            <w:r>
              <w:rPr/>
              <w:t>Maintenance &amp; Support</w:t>
            </w:r>
          </w:p>
        </w:tc>
        <w:tc>
          <w:tcPr>
            <w:tcW w:w="1447" w:type="dxa"/>
            <w:tcBorders/>
            <w:vAlign w:val="center"/>
          </w:tcPr>
          <w:p>
            <w:pPr>
              <w:pStyle w:val="TableContents"/>
              <w:bidi w:val="0"/>
              <w:spacing w:before="0" w:after="283"/>
              <w:jc w:val="left"/>
              <w:rPr/>
            </w:pPr>
            <w:r>
              <w:rPr/>
              <w:t>Recurring</w:t>
            </w:r>
          </w:p>
        </w:tc>
        <w:tc>
          <w:tcPr>
            <w:tcW w:w="7790" w:type="dxa"/>
            <w:tcBorders/>
            <w:vAlign w:val="center"/>
          </w:tcPr>
          <w:p>
            <w:pPr>
              <w:pStyle w:val="TableContents"/>
              <w:bidi w:val="0"/>
              <w:spacing w:before="0" w:after="283"/>
              <w:jc w:val="left"/>
              <w:rPr/>
            </w:pPr>
            <w:r>
              <w:rPr/>
              <w:t>Bug fixing, security updates, performance monitoring and user support across multiple services after go-live; typically the largest ongoing (post-launch) cost, and higher for a multi-service system than a monolith.</w:t>
            </w:r>
          </w:p>
        </w:tc>
      </w:tr>
      <w:tr>
        <w:trPr/>
        <w:tc>
          <w:tcPr>
            <w:tcW w:w="2102" w:type="dxa"/>
            <w:tcBorders/>
            <w:vAlign w:val="center"/>
          </w:tcPr>
          <w:p>
            <w:pPr>
              <w:pStyle w:val="TableContents"/>
              <w:bidi w:val="0"/>
              <w:spacing w:before="0" w:after="283"/>
              <w:jc w:val="left"/>
              <w:rPr/>
            </w:pPr>
            <w:r>
              <w:rPr/>
              <w:t>Contingency</w:t>
            </w:r>
          </w:p>
        </w:tc>
        <w:tc>
          <w:tcPr>
            <w:tcW w:w="1447" w:type="dxa"/>
            <w:tcBorders/>
            <w:vAlign w:val="center"/>
          </w:tcPr>
          <w:p>
            <w:pPr>
              <w:pStyle w:val="TableContents"/>
              <w:bidi w:val="0"/>
              <w:spacing w:before="0" w:after="283"/>
              <w:jc w:val="left"/>
              <w:rPr/>
            </w:pPr>
            <w:r>
              <w:rPr/>
              <w:t>One-time per phase</w:t>
            </w:r>
          </w:p>
        </w:tc>
        <w:tc>
          <w:tcPr>
            <w:tcW w:w="7790" w:type="dxa"/>
            <w:tcBorders/>
            <w:vAlign w:val="center"/>
          </w:tcPr>
          <w:p>
            <w:pPr>
              <w:pStyle w:val="TableContents"/>
              <w:bidi w:val="0"/>
              <w:spacing w:before="0" w:after="283"/>
              <w:jc w:val="left"/>
              <w:rPr/>
            </w:pPr>
            <w:r>
              <w:rPr/>
              <w:t>Reserve for scope refinement and unforeseen issues; recommended to be set higher than for the monolith design, given the added architectural complexity.</w:t>
            </w:r>
          </w:p>
        </w:tc>
      </w:tr>
    </w:tbl>
    <w:p>
      <w:pPr>
        <w:pStyle w:val="Heading3"/>
        <w:bidi w:val="0"/>
        <w:jc w:val="left"/>
        <w:rPr/>
      </w:pPr>
      <w:r>
        <w:rPr/>
        <w:t>9.2 Cost by Phase</w:t>
      </w:r>
    </w:p>
    <w:tbl>
      <w:tblPr>
        <w:tblW w:w="11339" w:type="dxa"/>
        <w:jc w:val="left"/>
        <w:tblInd w:w="28" w:type="dxa"/>
        <w:tblLayout w:type="fixed"/>
        <w:tblCellMar>
          <w:top w:w="28" w:type="dxa"/>
          <w:left w:w="28" w:type="dxa"/>
          <w:bottom w:w="28" w:type="dxa"/>
          <w:right w:w="28" w:type="dxa"/>
        </w:tblCellMar>
      </w:tblPr>
      <w:tblGrid>
        <w:gridCol w:w="2510"/>
        <w:gridCol w:w="2459"/>
        <w:gridCol w:w="6370"/>
      </w:tblGrid>
      <w:tr>
        <w:trPr/>
        <w:tc>
          <w:tcPr>
            <w:tcW w:w="2510" w:type="dxa"/>
            <w:tcBorders/>
            <w:vAlign w:val="center"/>
          </w:tcPr>
          <w:p>
            <w:pPr>
              <w:pStyle w:val="TableHeading"/>
              <w:suppressLineNumbers/>
              <w:shd w:fill="1F3864" w:val="clear"/>
              <w:bidi w:val="0"/>
              <w:spacing w:before="0" w:after="283"/>
              <w:jc w:val="left"/>
              <w:rPr/>
            </w:pPr>
            <w:r>
              <w:rPr/>
              <w:t>Phase</w:t>
            </w:r>
          </w:p>
        </w:tc>
        <w:tc>
          <w:tcPr>
            <w:tcW w:w="2459" w:type="dxa"/>
            <w:tcBorders/>
            <w:vAlign w:val="center"/>
          </w:tcPr>
          <w:p>
            <w:pPr>
              <w:pStyle w:val="TableHeading"/>
              <w:suppressLineNumbers/>
              <w:shd w:fill="1F3864" w:val="clear"/>
              <w:bidi w:val="0"/>
              <w:spacing w:before="0" w:after="283"/>
              <w:jc w:val="left"/>
              <w:rPr/>
            </w:pPr>
            <w:r>
              <w:rPr/>
              <w:t>Relative Cost Weight</w:t>
            </w:r>
          </w:p>
        </w:tc>
        <w:tc>
          <w:tcPr>
            <w:tcW w:w="6370" w:type="dxa"/>
            <w:tcBorders/>
            <w:vAlign w:val="center"/>
          </w:tcPr>
          <w:p>
            <w:pPr>
              <w:pStyle w:val="TableHeading"/>
              <w:suppressLineNumbers/>
              <w:shd w:fill="1F3864" w:val="clear"/>
              <w:bidi w:val="0"/>
              <w:spacing w:before="0" w:after="283"/>
              <w:jc w:val="left"/>
              <w:rPr/>
            </w:pPr>
            <w:r>
              <w:rPr/>
              <w:t>Why</w:t>
            </w:r>
          </w:p>
        </w:tc>
      </w:tr>
      <w:tr>
        <w:trPr/>
        <w:tc>
          <w:tcPr>
            <w:tcW w:w="2510" w:type="dxa"/>
            <w:tcBorders/>
            <w:vAlign w:val="center"/>
          </w:tcPr>
          <w:p>
            <w:pPr>
              <w:pStyle w:val="TableContents"/>
              <w:bidi w:val="0"/>
              <w:spacing w:before="0" w:after="283"/>
              <w:jc w:val="left"/>
              <w:rPr/>
            </w:pPr>
            <w:r>
              <w:rPr/>
              <w:t>Feasibility Study &amp; SRS (pre-Phase 1)</w:t>
            </w:r>
          </w:p>
        </w:tc>
        <w:tc>
          <w:tcPr>
            <w:tcW w:w="2459" w:type="dxa"/>
            <w:tcBorders/>
            <w:vAlign w:val="center"/>
          </w:tcPr>
          <w:p>
            <w:pPr>
              <w:pStyle w:val="TableContents"/>
              <w:bidi w:val="0"/>
              <w:spacing w:before="0" w:after="283"/>
              <w:jc w:val="left"/>
              <w:rPr/>
            </w:pPr>
            <w:r>
              <w:rPr/>
              <w:t>Smallest — sets the scale for everything after</w:t>
            </w:r>
          </w:p>
        </w:tc>
        <w:tc>
          <w:tcPr>
            <w:tcW w:w="6370" w:type="dxa"/>
            <w:tcBorders/>
            <w:vAlign w:val="center"/>
          </w:tcPr>
          <w:p>
            <w:pPr>
              <w:pStyle w:val="TableContents"/>
              <w:bidi w:val="0"/>
              <w:spacing w:before="0" w:after="283"/>
              <w:jc w:val="left"/>
              <w:rPr/>
            </w:pPr>
            <w:r>
              <w:rPr/>
              <w:t>Analysis and documentation effort only; no development. Complete as of this version of the proposal.</w:t>
            </w:r>
          </w:p>
        </w:tc>
      </w:tr>
      <w:tr>
        <w:trPr/>
        <w:tc>
          <w:tcPr>
            <w:tcW w:w="2510" w:type="dxa"/>
            <w:tcBorders/>
            <w:vAlign w:val="center"/>
          </w:tcPr>
          <w:p>
            <w:pPr>
              <w:pStyle w:val="TableContents"/>
              <w:bidi w:val="0"/>
              <w:spacing w:before="0" w:after="283"/>
              <w:jc w:val="left"/>
              <w:rPr/>
            </w:pPr>
            <w:r>
              <w:rPr/>
              <w:t>Phase 1 — Core (MVP)</w:t>
            </w:r>
          </w:p>
        </w:tc>
        <w:tc>
          <w:tcPr>
            <w:tcW w:w="2459" w:type="dxa"/>
            <w:tcBorders/>
            <w:vAlign w:val="center"/>
          </w:tcPr>
          <w:p>
            <w:pPr>
              <w:pStyle w:val="TableContents"/>
              <w:bidi w:val="0"/>
              <w:spacing w:before="0" w:after="283"/>
              <w:jc w:val="left"/>
              <w:rPr/>
            </w:pPr>
            <w:r>
              <w:rPr/>
              <w:t>Significant — larger than originally estimated</w:t>
            </w:r>
          </w:p>
        </w:tc>
        <w:tc>
          <w:tcPr>
            <w:tcW w:w="6370" w:type="dxa"/>
            <w:tcBorders/>
            <w:vAlign w:val="center"/>
          </w:tcPr>
          <w:p>
            <w:pPr>
              <w:pStyle w:val="TableContents"/>
              <w:bidi w:val="0"/>
              <w:spacing w:before="0" w:after="283"/>
              <w:jc w:val="left"/>
              <w:rPr/>
            </w:pPr>
            <w:r>
              <w:rPr/>
              <w:t>Establishes eight services, an API Gateway, event streaming and observability infrastructure that every later phase depends on</w:t>
            </w:r>
          </w:p>
        </w:tc>
      </w:tr>
      <w:tr>
        <w:trPr/>
        <w:tc>
          <w:tcPr>
            <w:tcW w:w="2510" w:type="dxa"/>
            <w:tcBorders/>
            <w:vAlign w:val="center"/>
          </w:tcPr>
          <w:p>
            <w:pPr>
              <w:pStyle w:val="TableContents"/>
              <w:bidi w:val="0"/>
              <w:spacing w:before="0" w:after="283"/>
              <w:jc w:val="left"/>
              <w:rPr/>
            </w:pPr>
            <w:r>
              <w:rPr/>
              <w:t>Phase 2 — Business Operations</w:t>
            </w:r>
          </w:p>
        </w:tc>
        <w:tc>
          <w:tcPr>
            <w:tcW w:w="2459" w:type="dxa"/>
            <w:tcBorders/>
            <w:vAlign w:val="center"/>
          </w:tcPr>
          <w:p>
            <w:pPr>
              <w:pStyle w:val="TableContents"/>
              <w:bidi w:val="0"/>
              <w:spacing w:before="0" w:after="283"/>
              <w:jc w:val="left"/>
              <w:rPr/>
            </w:pPr>
            <w:r>
              <w:rPr/>
              <w:t>Moderate–High</w:t>
            </w:r>
          </w:p>
        </w:tc>
        <w:tc>
          <w:tcPr>
            <w:tcW w:w="6370" w:type="dxa"/>
            <w:tcBorders/>
            <w:vAlign w:val="center"/>
          </w:tcPr>
          <w:p>
            <w:pPr>
              <w:pStyle w:val="TableContents"/>
              <w:bidi w:val="0"/>
              <w:spacing w:before="0" w:after="283"/>
              <w:jc w:val="left"/>
              <w:rPr/>
            </w:pPr>
            <w:r>
              <w:rPr/>
              <w:t>Adds several transaction-heavy services (sales, procurement, inventory, warehouse) with more inter-service event flows</w:t>
            </w:r>
          </w:p>
        </w:tc>
      </w:tr>
      <w:tr>
        <w:trPr/>
        <w:tc>
          <w:tcPr>
            <w:tcW w:w="2510" w:type="dxa"/>
            <w:tcBorders/>
            <w:vAlign w:val="center"/>
          </w:tcPr>
          <w:p>
            <w:pPr>
              <w:pStyle w:val="TableContents"/>
              <w:bidi w:val="0"/>
              <w:spacing w:before="0" w:after="283"/>
              <w:jc w:val="left"/>
              <w:rPr/>
            </w:pPr>
            <w:r>
              <w:rPr/>
              <w:t>Phase 3 — Advanced Finance</w:t>
            </w:r>
          </w:p>
        </w:tc>
        <w:tc>
          <w:tcPr>
            <w:tcW w:w="2459" w:type="dxa"/>
            <w:tcBorders/>
            <w:vAlign w:val="center"/>
          </w:tcPr>
          <w:p>
            <w:pPr>
              <w:pStyle w:val="TableContents"/>
              <w:bidi w:val="0"/>
              <w:spacing w:before="0" w:after="283"/>
              <w:jc w:val="left"/>
              <w:rPr/>
            </w:pPr>
            <w:r>
              <w:rPr/>
              <w:t>Moderate–High</w:t>
            </w:r>
          </w:p>
        </w:tc>
        <w:tc>
          <w:tcPr>
            <w:tcW w:w="6370" w:type="dxa"/>
            <w:tcBorders/>
            <w:vAlign w:val="center"/>
          </w:tcPr>
          <w:p>
            <w:pPr>
              <w:pStyle w:val="TableContents"/>
              <w:bidi w:val="0"/>
              <w:spacing w:before="0" w:after="283"/>
              <w:jc w:val="left"/>
              <w:rPr/>
            </w:pPr>
            <w:r>
              <w:rPr/>
              <w:t>Payroll, banking and consolidation logic are complex and typically require specialist finance-system expertise</w:t>
            </w:r>
          </w:p>
        </w:tc>
      </w:tr>
      <w:tr>
        <w:trPr/>
        <w:tc>
          <w:tcPr>
            <w:tcW w:w="2510" w:type="dxa"/>
            <w:tcBorders/>
            <w:vAlign w:val="center"/>
          </w:tcPr>
          <w:p>
            <w:pPr>
              <w:pStyle w:val="TableContents"/>
              <w:bidi w:val="0"/>
              <w:spacing w:before="0" w:after="283"/>
              <w:jc w:val="left"/>
              <w:rPr/>
            </w:pPr>
            <w:r>
              <w:rPr/>
              <w:t>Phase 4 — Enterprise Management</w:t>
            </w:r>
          </w:p>
        </w:tc>
        <w:tc>
          <w:tcPr>
            <w:tcW w:w="2459" w:type="dxa"/>
            <w:tcBorders/>
            <w:vAlign w:val="center"/>
          </w:tcPr>
          <w:p>
            <w:pPr>
              <w:pStyle w:val="TableContents"/>
              <w:bidi w:val="0"/>
              <w:spacing w:before="0" w:after="283"/>
              <w:jc w:val="left"/>
              <w:rPr/>
            </w:pPr>
            <w:r>
              <w:rPr/>
              <w:t>Moderate</w:t>
            </w:r>
          </w:p>
        </w:tc>
        <w:tc>
          <w:tcPr>
            <w:tcW w:w="6370" w:type="dxa"/>
            <w:tcBorders/>
            <w:vAlign w:val="center"/>
          </w:tcPr>
          <w:p>
            <w:pPr>
              <w:pStyle w:val="TableContents"/>
              <w:bidi w:val="0"/>
              <w:spacing w:before="0" w:after="283"/>
              <w:jc w:val="left"/>
              <w:rPr/>
            </w:pPr>
            <w:r>
              <w:rPr/>
              <w:t>Broader in module count but individually less complex than core finance modules</w:t>
            </w:r>
          </w:p>
        </w:tc>
      </w:tr>
      <w:tr>
        <w:trPr/>
        <w:tc>
          <w:tcPr>
            <w:tcW w:w="2510" w:type="dxa"/>
            <w:tcBorders/>
            <w:vAlign w:val="center"/>
          </w:tcPr>
          <w:p>
            <w:pPr>
              <w:pStyle w:val="TableContents"/>
              <w:bidi w:val="0"/>
              <w:spacing w:before="0" w:after="283"/>
              <w:jc w:val="left"/>
              <w:rPr/>
            </w:pPr>
            <w:r>
              <w:rPr/>
              <w:t>Phase 5 — Integration and Security</w:t>
            </w:r>
          </w:p>
        </w:tc>
        <w:tc>
          <w:tcPr>
            <w:tcW w:w="2459" w:type="dxa"/>
            <w:tcBorders/>
            <w:vAlign w:val="center"/>
          </w:tcPr>
          <w:p>
            <w:pPr>
              <w:pStyle w:val="TableContents"/>
              <w:bidi w:val="0"/>
              <w:spacing w:before="0" w:after="283"/>
              <w:jc w:val="left"/>
              <w:rPr/>
            </w:pPr>
            <w:r>
              <w:rPr/>
              <w:t>Moderate</w:t>
            </w:r>
          </w:p>
        </w:tc>
        <w:tc>
          <w:tcPr>
            <w:tcW w:w="6370" w:type="dxa"/>
            <w:tcBorders/>
            <w:vAlign w:val="center"/>
          </w:tcPr>
          <w:p>
            <w:pPr>
              <w:pStyle w:val="TableContents"/>
              <w:bidi w:val="0"/>
              <w:spacing w:before="0" w:after="283"/>
              <w:jc w:val="left"/>
              <w:rPr/>
            </w:pPr>
            <w:r>
              <w:rPr/>
              <w:t>Mobile, APIs, bank/payment integration and advanced security hardening; cost depends heavily on external integration partners selected</w:t>
            </w:r>
          </w:p>
        </w:tc>
      </w:tr>
      <w:tr>
        <w:trPr/>
        <w:tc>
          <w:tcPr>
            <w:tcW w:w="2510" w:type="dxa"/>
            <w:tcBorders/>
            <w:vAlign w:val="center"/>
          </w:tcPr>
          <w:p>
            <w:pPr>
              <w:pStyle w:val="TableContents"/>
              <w:bidi w:val="0"/>
              <w:spacing w:before="0" w:after="283"/>
              <w:jc w:val="left"/>
              <w:rPr/>
            </w:pPr>
            <w:r>
              <w:rPr/>
              <w:t>Ongoing Maintenance (post each go-live)</w:t>
            </w:r>
          </w:p>
        </w:tc>
        <w:tc>
          <w:tcPr>
            <w:tcW w:w="2459" w:type="dxa"/>
            <w:tcBorders/>
            <w:vAlign w:val="center"/>
          </w:tcPr>
          <w:p>
            <w:pPr>
              <w:pStyle w:val="TableContents"/>
              <w:bidi w:val="0"/>
              <w:spacing w:before="0" w:after="283"/>
              <w:jc w:val="left"/>
              <w:rPr/>
            </w:pPr>
            <w:r>
              <w:rPr/>
              <w:t>Recurring, compounds over time</w:t>
            </w:r>
          </w:p>
        </w:tc>
        <w:tc>
          <w:tcPr>
            <w:tcW w:w="6370" w:type="dxa"/>
            <w:tcBorders/>
            <w:vAlign w:val="center"/>
          </w:tcPr>
          <w:p>
            <w:pPr>
              <w:pStyle w:val="TableContents"/>
              <w:bidi w:val="0"/>
              <w:spacing w:before="0" w:after="283"/>
              <w:jc w:val="left"/>
              <w:rPr/>
            </w:pPr>
            <w:r>
              <w:rPr/>
              <w:t>Grows as more phases and subsidiaries go live and require support across a growing number of services</w:t>
            </w:r>
          </w:p>
        </w:tc>
      </w:tr>
    </w:tbl>
    <w:p>
      <w:pPr>
        <w:pStyle w:val="Heading3"/>
        <w:bidi w:val="0"/>
        <w:jc w:val="left"/>
        <w:rPr/>
      </w:pPr>
      <w:r>
        <w:rPr/>
        <w:t>9.3 How Costs Will Be Quantified</w:t>
      </w:r>
    </w:p>
    <w:p>
      <w:pPr>
        <w:pStyle w:val="BodyText"/>
        <w:numPr>
          <w:ilvl w:val="0"/>
          <w:numId w:val="4"/>
        </w:numPr>
        <w:tabs>
          <w:tab w:val="clear" w:pos="1134"/>
          <w:tab w:val="left" w:pos="709" w:leader="none"/>
        </w:tabs>
        <w:bidi w:val="0"/>
        <w:spacing w:before="0" w:after="0"/>
        <w:ind w:hanging="283" w:left="709"/>
        <w:jc w:val="left"/>
        <w:rPr/>
      </w:pPr>
      <w:r>
        <w:rPr/>
        <w:t xml:space="preserve">Obtain indicative quotations from at least two to three prospective development teams/technology partners, explicitly scoped against 07_System Design Document's microservices architecture, with demonstrated Kafka/AWS ECS delivery experience. </w:t>
      </w:r>
    </w:p>
    <w:p>
      <w:pPr>
        <w:pStyle w:val="BodyText"/>
        <w:numPr>
          <w:ilvl w:val="0"/>
          <w:numId w:val="4"/>
        </w:numPr>
        <w:tabs>
          <w:tab w:val="clear" w:pos="1134"/>
          <w:tab w:val="left" w:pos="709" w:leader="none"/>
        </w:tabs>
        <w:bidi w:val="0"/>
        <w:spacing w:before="0" w:after="0"/>
        <w:ind w:hanging="283" w:left="709"/>
        <w:jc w:val="left"/>
        <w:rPr/>
      </w:pPr>
      <w:r>
        <w:rPr/>
        <w:t xml:space="preserve">Estimate cloud infrastructure costs using published AWS pricing for ECS, RDS (per service), managed Kafka and the observability stack. </w:t>
      </w:r>
    </w:p>
    <w:p>
      <w:pPr>
        <w:pStyle w:val="BodyText"/>
        <w:numPr>
          <w:ilvl w:val="0"/>
          <w:numId w:val="4"/>
        </w:numPr>
        <w:tabs>
          <w:tab w:val="clear" w:pos="1134"/>
          <w:tab w:val="left" w:pos="709" w:leader="none"/>
        </w:tabs>
        <w:bidi w:val="0"/>
        <w:spacing w:before="0" w:after="0"/>
        <w:ind w:hanging="283" w:left="709"/>
        <w:jc w:val="left"/>
        <w:rPr/>
      </w:pPr>
      <w:r>
        <w:rPr/>
        <w:t xml:space="preserve">Project recurring costs (hosting, licensing, maintenance) on an annual basis so the Board can see total cost of ownership, not just build cost. </w:t>
      </w:r>
    </w:p>
    <w:p>
      <w:pPr>
        <w:pStyle w:val="BodyText"/>
        <w:numPr>
          <w:ilvl w:val="0"/>
          <w:numId w:val="4"/>
        </w:numPr>
        <w:tabs>
          <w:tab w:val="clear" w:pos="1134"/>
          <w:tab w:val="left" w:pos="709" w:leader="none"/>
        </w:tabs>
        <w:bidi w:val="0"/>
        <w:ind w:hanging="283" w:left="709"/>
        <w:jc w:val="left"/>
        <w:rPr/>
      </w:pPr>
      <w:r>
        <w:rPr/>
        <w:t xml:space="preserve">Re-cost each phase after Phase 1 before it is approved, using actuals from the prior phase to improve estimate accuracy. </w:t>
      </w:r>
    </w:p>
    <w:p>
      <w:pPr>
        <w:pStyle w:val="Heading3"/>
        <w:bidi w:val="0"/>
        <w:jc w:val="left"/>
        <w:rPr/>
      </w:pPr>
      <w:r>
        <w:rPr/>
        <w:t>9.4 Potential Funding Sources</w:t>
      </w:r>
    </w:p>
    <w:tbl>
      <w:tblPr>
        <w:tblW w:w="11339" w:type="dxa"/>
        <w:jc w:val="left"/>
        <w:tblInd w:w="28" w:type="dxa"/>
        <w:tblLayout w:type="fixed"/>
        <w:tblCellMar>
          <w:top w:w="28" w:type="dxa"/>
          <w:left w:w="28" w:type="dxa"/>
          <w:bottom w:w="28" w:type="dxa"/>
          <w:right w:w="28" w:type="dxa"/>
        </w:tblCellMar>
      </w:tblPr>
      <w:tblGrid>
        <w:gridCol w:w="2289"/>
        <w:gridCol w:w="4066"/>
        <w:gridCol w:w="4984"/>
      </w:tblGrid>
      <w:tr>
        <w:trPr/>
        <w:tc>
          <w:tcPr>
            <w:tcW w:w="2289" w:type="dxa"/>
            <w:tcBorders/>
            <w:vAlign w:val="center"/>
          </w:tcPr>
          <w:p>
            <w:pPr>
              <w:pStyle w:val="TableHeading"/>
              <w:suppressLineNumbers/>
              <w:shd w:fill="1F3864" w:val="clear"/>
              <w:bidi w:val="0"/>
              <w:spacing w:before="0" w:after="283"/>
              <w:jc w:val="left"/>
              <w:rPr/>
            </w:pPr>
            <w:r>
              <w:rPr/>
              <w:t>Source</w:t>
            </w:r>
          </w:p>
        </w:tc>
        <w:tc>
          <w:tcPr>
            <w:tcW w:w="4066" w:type="dxa"/>
            <w:tcBorders/>
            <w:vAlign w:val="center"/>
          </w:tcPr>
          <w:p>
            <w:pPr>
              <w:pStyle w:val="TableHeading"/>
              <w:suppressLineNumbers/>
              <w:shd w:fill="1F3864" w:val="clear"/>
              <w:bidi w:val="0"/>
              <w:spacing w:before="0" w:after="283"/>
              <w:jc w:val="left"/>
              <w:rPr/>
            </w:pPr>
            <w:r>
              <w:rPr/>
              <w:t>Description</w:t>
            </w:r>
          </w:p>
        </w:tc>
        <w:tc>
          <w:tcPr>
            <w:tcW w:w="4984" w:type="dxa"/>
            <w:tcBorders/>
            <w:vAlign w:val="center"/>
          </w:tcPr>
          <w:p>
            <w:pPr>
              <w:pStyle w:val="TableHeading"/>
              <w:suppressLineNumbers/>
              <w:shd w:fill="1F3864" w:val="clear"/>
              <w:bidi w:val="0"/>
              <w:spacing w:before="0" w:after="283"/>
              <w:jc w:val="left"/>
              <w:rPr/>
            </w:pPr>
            <w:r>
              <w:rPr/>
              <w:t>Considerations</w:t>
            </w:r>
          </w:p>
        </w:tc>
      </w:tr>
      <w:tr>
        <w:trPr/>
        <w:tc>
          <w:tcPr>
            <w:tcW w:w="2289" w:type="dxa"/>
            <w:tcBorders/>
            <w:vAlign w:val="center"/>
          </w:tcPr>
          <w:p>
            <w:pPr>
              <w:pStyle w:val="TableContents"/>
              <w:bidi w:val="0"/>
              <w:spacing w:before="0" w:after="283"/>
              <w:jc w:val="left"/>
              <w:rPr/>
            </w:pPr>
            <w:r>
              <w:rPr/>
              <w:t>Group retained earnings / operating cash flow</w:t>
            </w:r>
          </w:p>
        </w:tc>
        <w:tc>
          <w:tcPr>
            <w:tcW w:w="4066" w:type="dxa"/>
            <w:tcBorders/>
            <w:vAlign w:val="center"/>
          </w:tcPr>
          <w:p>
            <w:pPr>
              <w:pStyle w:val="TableContents"/>
              <w:bidi w:val="0"/>
              <w:spacing w:before="0" w:after="283"/>
              <w:jc w:val="left"/>
              <w:rPr/>
            </w:pPr>
            <w:r>
              <w:rPr/>
              <w:t>Self-funding the project from the Group's own operating surplus.</w:t>
            </w:r>
          </w:p>
        </w:tc>
        <w:tc>
          <w:tcPr>
            <w:tcW w:w="4984" w:type="dxa"/>
            <w:tcBorders/>
            <w:vAlign w:val="center"/>
          </w:tcPr>
          <w:p>
            <w:pPr>
              <w:pStyle w:val="TableContents"/>
              <w:bidi w:val="0"/>
              <w:spacing w:before="0" w:after="283"/>
              <w:jc w:val="left"/>
              <w:rPr/>
            </w:pPr>
            <w:r>
              <w:rPr/>
              <w:t>Preserves full ownership and avoids interest cost; depends on the Group's current cash position and competing operating needs — a higher bar now that the expected cost has increased.</w:t>
            </w:r>
          </w:p>
        </w:tc>
      </w:tr>
      <w:tr>
        <w:trPr/>
        <w:tc>
          <w:tcPr>
            <w:tcW w:w="2289" w:type="dxa"/>
            <w:tcBorders/>
            <w:vAlign w:val="center"/>
          </w:tcPr>
          <w:p>
            <w:pPr>
              <w:pStyle w:val="TableContents"/>
              <w:bidi w:val="0"/>
              <w:spacing w:before="0" w:after="283"/>
              <w:jc w:val="left"/>
              <w:rPr/>
            </w:pPr>
            <w:r>
              <w:rPr/>
              <w:t>Shareholder / Director capital contribution</w:t>
            </w:r>
          </w:p>
        </w:tc>
        <w:tc>
          <w:tcPr>
            <w:tcW w:w="4066" w:type="dxa"/>
            <w:tcBorders/>
            <w:vAlign w:val="center"/>
          </w:tcPr>
          <w:p>
            <w:pPr>
              <w:pStyle w:val="TableContents"/>
              <w:bidi w:val="0"/>
              <w:spacing w:before="0" w:after="283"/>
              <w:jc w:val="left"/>
              <w:rPr/>
            </w:pPr>
            <w:r>
              <w:rPr/>
              <w:t>Additional paid-in capital from shareholders or directors, authorized by Board resolution in the same manner as the Group's existing banking resolution.</w:t>
            </w:r>
          </w:p>
        </w:tc>
        <w:tc>
          <w:tcPr>
            <w:tcW w:w="4984" w:type="dxa"/>
            <w:tcBorders/>
            <w:vAlign w:val="center"/>
          </w:tcPr>
          <w:p>
            <w:pPr>
              <w:pStyle w:val="TableContents"/>
              <w:bidi w:val="0"/>
              <w:spacing w:before="0" w:after="283"/>
              <w:jc w:val="left"/>
              <w:rPr/>
            </w:pPr>
            <w:r>
              <w:rPr/>
              <w:t>Requires formal Board/shareholder resolution and agreement on contribution shares if more than one party contributes.</w:t>
            </w:r>
          </w:p>
        </w:tc>
      </w:tr>
      <w:tr>
        <w:trPr/>
        <w:tc>
          <w:tcPr>
            <w:tcW w:w="2289" w:type="dxa"/>
            <w:tcBorders/>
            <w:vAlign w:val="center"/>
          </w:tcPr>
          <w:p>
            <w:pPr>
              <w:pStyle w:val="TableContents"/>
              <w:bidi w:val="0"/>
              <w:spacing w:before="0" w:after="283"/>
              <w:jc w:val="left"/>
              <w:rPr/>
            </w:pPr>
            <w:r>
              <w:rPr/>
              <w:t>Bank loan or overdraft facility</w:t>
            </w:r>
          </w:p>
        </w:tc>
        <w:tc>
          <w:tcPr>
            <w:tcW w:w="4066" w:type="dxa"/>
            <w:tcBorders/>
            <w:vAlign w:val="center"/>
          </w:tcPr>
          <w:p>
            <w:pPr>
              <w:pStyle w:val="TableContents"/>
              <w:bidi w:val="0"/>
              <w:spacing w:before="0" w:after="283"/>
              <w:jc w:val="left"/>
              <w:rPr/>
            </w:pPr>
            <w:r>
              <w:rPr/>
              <w:t>Debt financing through the Group's existing banking relationship with Equity Bank (Uganda) Limited.</w:t>
            </w:r>
          </w:p>
        </w:tc>
        <w:tc>
          <w:tcPr>
            <w:tcW w:w="4984" w:type="dxa"/>
            <w:tcBorders/>
            <w:vAlign w:val="center"/>
          </w:tcPr>
          <w:p>
            <w:pPr>
              <w:pStyle w:val="TableContents"/>
              <w:bidi w:val="0"/>
              <w:spacing w:before="0" w:after="283"/>
              <w:jc w:val="left"/>
              <w:rPr/>
            </w:pPr>
            <w:r>
              <w:rPr/>
              <w:t>Introduces interest cost and repayment obligations; would need updated signatory arrangements per Section 7.1 before any facility is drawn down.</w:t>
            </w:r>
          </w:p>
        </w:tc>
      </w:tr>
      <w:tr>
        <w:trPr/>
        <w:tc>
          <w:tcPr>
            <w:tcW w:w="2289" w:type="dxa"/>
            <w:tcBorders/>
            <w:vAlign w:val="center"/>
          </w:tcPr>
          <w:p>
            <w:pPr>
              <w:pStyle w:val="TableContents"/>
              <w:bidi w:val="0"/>
              <w:spacing w:before="0" w:after="283"/>
              <w:jc w:val="left"/>
              <w:rPr/>
            </w:pPr>
            <w:r>
              <w:rPr/>
              <w:t>Subsidiary cost-sharing / cross-charging</w:t>
            </w:r>
          </w:p>
        </w:tc>
        <w:tc>
          <w:tcPr>
            <w:tcW w:w="4066" w:type="dxa"/>
            <w:tcBorders/>
            <w:vAlign w:val="center"/>
          </w:tcPr>
          <w:p>
            <w:pPr>
              <w:pStyle w:val="TableContents"/>
              <w:bidi w:val="0"/>
              <w:spacing w:before="0" w:after="283"/>
              <w:jc w:val="left"/>
              <w:rPr/>
            </w:pPr>
            <w:r>
              <w:rPr/>
              <w:t>Allocating project cost across subsidiaries in proportion to their size, revenue or expected system usage.</w:t>
            </w:r>
          </w:p>
        </w:tc>
        <w:tc>
          <w:tcPr>
            <w:tcW w:w="4984" w:type="dxa"/>
            <w:tcBorders/>
            <w:vAlign w:val="center"/>
          </w:tcPr>
          <w:p>
            <w:pPr>
              <w:pStyle w:val="TableContents"/>
              <w:bidi w:val="0"/>
              <w:spacing w:before="0" w:after="283"/>
              <w:jc w:val="left"/>
              <w:rPr/>
            </w:pPr>
            <w:r>
              <w:rPr/>
              <w:t>Fair-allocation basis must be agreed by the Board; requires inter-company invoicing/agreement.</w:t>
            </w:r>
          </w:p>
        </w:tc>
      </w:tr>
      <w:tr>
        <w:trPr/>
        <w:tc>
          <w:tcPr>
            <w:tcW w:w="2289" w:type="dxa"/>
            <w:tcBorders/>
            <w:vAlign w:val="center"/>
          </w:tcPr>
          <w:p>
            <w:pPr>
              <w:pStyle w:val="TableContents"/>
              <w:bidi w:val="0"/>
              <w:spacing w:before="0" w:after="283"/>
              <w:jc w:val="left"/>
              <w:rPr/>
            </w:pPr>
            <w:r>
              <w:rPr/>
              <w:t>Phased self-funding from realized savings</w:t>
            </w:r>
          </w:p>
        </w:tc>
        <w:tc>
          <w:tcPr>
            <w:tcW w:w="4066" w:type="dxa"/>
            <w:tcBorders/>
            <w:vAlign w:val="center"/>
          </w:tcPr>
          <w:p>
            <w:pPr>
              <w:pStyle w:val="TableContents"/>
              <w:bidi w:val="0"/>
              <w:spacing w:before="0" w:after="283"/>
              <w:jc w:val="left"/>
              <w:rPr/>
            </w:pPr>
            <w:r>
              <w:rPr/>
              <w:t>Using efficiency savings from an earlier phase to help fund the next phase.</w:t>
            </w:r>
          </w:p>
        </w:tc>
        <w:tc>
          <w:tcPr>
            <w:tcW w:w="4984" w:type="dxa"/>
            <w:tcBorders/>
            <w:vAlign w:val="center"/>
          </w:tcPr>
          <w:p>
            <w:pPr>
              <w:pStyle w:val="TableContents"/>
              <w:bidi w:val="0"/>
              <w:spacing w:before="0" w:after="283"/>
              <w:jc w:val="left"/>
              <w:rPr/>
            </w:pPr>
            <w:r>
              <w:rPr/>
              <w:t>Reduces upfront funding pressure but depends on Phase 1 delivering measurable savings before Phase 2 is due to start.</w:t>
            </w:r>
          </w:p>
        </w:tc>
      </w:tr>
    </w:tbl>
    <w:p>
      <w:pPr>
        <w:pStyle w:val="Heading3"/>
        <w:bidi w:val="0"/>
        <w:jc w:val="left"/>
        <w:rPr/>
      </w:pPr>
      <w:r>
        <w:rPr/>
        <w:t>9.5 Funding Approval and Disbursement Approach</w:t>
      </w:r>
    </w:p>
    <w:p>
      <w:pPr>
        <w:pStyle w:val="BodyText"/>
        <w:numPr>
          <w:ilvl w:val="0"/>
          <w:numId w:val="5"/>
        </w:numPr>
        <w:tabs>
          <w:tab w:val="clear" w:pos="1134"/>
          <w:tab w:val="left" w:pos="709" w:leader="none"/>
        </w:tabs>
        <w:bidi w:val="0"/>
        <w:spacing w:before="0" w:after="0"/>
        <w:ind w:hanging="283" w:left="709"/>
        <w:jc w:val="left"/>
        <w:rPr/>
      </w:pPr>
      <w:r>
        <w:rPr>
          <w:b/>
        </w:rPr>
        <w:t>Immediate ask:</w:t>
      </w:r>
      <w:r>
        <w:rPr/>
        <w:t xml:space="preserve"> this proposal requests Board approval to proceed to Phase 1 development, with funding released only once vendor quotations (Section 9.3) are in hand — not a blank commitment to the full multi-year roadmap. </w:t>
      </w:r>
    </w:p>
    <w:p>
      <w:pPr>
        <w:pStyle w:val="BodyText"/>
        <w:numPr>
          <w:ilvl w:val="0"/>
          <w:numId w:val="5"/>
        </w:numPr>
        <w:tabs>
          <w:tab w:val="clear" w:pos="1134"/>
          <w:tab w:val="left" w:pos="709" w:leader="none"/>
        </w:tabs>
        <w:bidi w:val="0"/>
        <w:spacing w:before="0" w:after="0"/>
        <w:ind w:hanging="283" w:left="709"/>
        <w:jc w:val="left"/>
        <w:rPr/>
      </w:pPr>
      <w:r>
        <w:rPr>
          <w:b/>
        </w:rPr>
        <w:t>Phase-gated release:</w:t>
      </w:r>
      <w:r>
        <w:rPr/>
        <w:t xml:space="preserve"> funding for each subsequent phase is requested and approved separately, once that phase's scope and cost are confirmed. </w:t>
      </w:r>
    </w:p>
    <w:p>
      <w:pPr>
        <w:pStyle w:val="BodyText"/>
        <w:numPr>
          <w:ilvl w:val="0"/>
          <w:numId w:val="5"/>
        </w:numPr>
        <w:tabs>
          <w:tab w:val="clear" w:pos="1134"/>
          <w:tab w:val="left" w:pos="709" w:leader="none"/>
        </w:tabs>
        <w:bidi w:val="0"/>
        <w:spacing w:before="0" w:after="0"/>
        <w:ind w:hanging="283" w:left="709"/>
        <w:jc w:val="left"/>
        <w:rPr/>
      </w:pPr>
      <w:r>
        <w:rPr>
          <w:b/>
        </w:rPr>
        <w:t>Milestone-based disbursement:</w:t>
      </w:r>
      <w:r>
        <w:rPr/>
        <w:t xml:space="preserve"> within an approved phase, payments to any external development partner should be tied to delivery milestones rather than paid in full upfront. </w:t>
      </w:r>
    </w:p>
    <w:p>
      <w:pPr>
        <w:pStyle w:val="BodyText"/>
        <w:numPr>
          <w:ilvl w:val="0"/>
          <w:numId w:val="5"/>
        </w:numPr>
        <w:tabs>
          <w:tab w:val="clear" w:pos="1134"/>
          <w:tab w:val="left" w:pos="709" w:leader="none"/>
        </w:tabs>
        <w:bidi w:val="0"/>
        <w:ind w:hanging="283" w:left="709"/>
        <w:jc w:val="left"/>
        <w:rPr/>
      </w:pPr>
      <w:r>
        <w:rPr>
          <w:b/>
        </w:rPr>
        <w:t>Authorization:</w:t>
      </w:r>
      <w:r>
        <w:rPr/>
        <w:t xml:space="preserve"> consistent with the Group's existing banking governance, funding releases above an agreed threshold should require the same principal-plus-alternate signatory authorization used for other Group financial transactions. </w:t>
      </w:r>
    </w:p>
    <w:p>
      <w:pPr>
        <w:pStyle w:val="Heading3"/>
        <w:bidi w:val="0"/>
        <w:jc w:val="left"/>
        <w:rPr/>
      </w:pPr>
      <w:r>
        <w:rPr/>
        <w:t>9.6 Currency and Financial Risk Considerations</w:t>
      </w:r>
    </w:p>
    <w:p>
      <w:pPr>
        <w:pStyle w:val="BodyText"/>
        <w:bidi w:val="0"/>
        <w:jc w:val="left"/>
        <w:rPr/>
      </w:pPr>
      <w:r>
        <w:rPr/>
        <w:t>Group revenue and existing banking arrangements are in Uganda Shillings (UGX), while cloud infrastructure and some software licensing are typically billed in US Dollars. Vendor quotations obtained under Section 9.3 should quantify this foreign-currency exposure, which is now larger given the additional AWS services (multiple ECS services, Kafka, observability tooling) the microservices architecture requires.</w:t>
      </w:r>
    </w:p>
    <w:p>
      <w:pPr>
        <w:pStyle w:val="Heading2"/>
        <w:bidi w:val="0"/>
        <w:jc w:val="left"/>
        <w:rPr/>
      </w:pPr>
      <w:r>
        <w:rPr/>
        <w:t>10. Risks</w:t>
      </w:r>
    </w:p>
    <w:tbl>
      <w:tblPr>
        <w:tblW w:w="11339" w:type="dxa"/>
        <w:jc w:val="left"/>
        <w:tblInd w:w="28" w:type="dxa"/>
        <w:tblLayout w:type="fixed"/>
        <w:tblCellMar>
          <w:top w:w="28" w:type="dxa"/>
          <w:left w:w="28" w:type="dxa"/>
          <w:bottom w:w="28" w:type="dxa"/>
          <w:right w:w="28" w:type="dxa"/>
        </w:tblCellMar>
      </w:tblPr>
      <w:tblGrid>
        <w:gridCol w:w="5136"/>
        <w:gridCol w:w="6203"/>
      </w:tblGrid>
      <w:tr>
        <w:trPr/>
        <w:tc>
          <w:tcPr>
            <w:tcW w:w="5136" w:type="dxa"/>
            <w:tcBorders/>
            <w:vAlign w:val="center"/>
          </w:tcPr>
          <w:p>
            <w:pPr>
              <w:pStyle w:val="TableHeading"/>
              <w:suppressLineNumbers/>
              <w:shd w:fill="1F3864" w:val="clear"/>
              <w:bidi w:val="0"/>
              <w:spacing w:before="0" w:after="283"/>
              <w:jc w:val="left"/>
              <w:rPr/>
            </w:pPr>
            <w:r>
              <w:rPr/>
              <w:t>Risk</w:t>
            </w:r>
          </w:p>
        </w:tc>
        <w:tc>
          <w:tcPr>
            <w:tcW w:w="6203" w:type="dxa"/>
            <w:tcBorders/>
            <w:vAlign w:val="center"/>
          </w:tcPr>
          <w:p>
            <w:pPr>
              <w:pStyle w:val="TableHeading"/>
              <w:suppressLineNumbers/>
              <w:shd w:fill="1F3864" w:val="clear"/>
              <w:bidi w:val="0"/>
              <w:spacing w:before="0" w:after="283"/>
              <w:jc w:val="left"/>
              <w:rPr/>
            </w:pPr>
            <w:r>
              <w:rPr/>
              <w:t>Mitigation</w:t>
            </w:r>
          </w:p>
        </w:tc>
      </w:tr>
      <w:tr>
        <w:trPr/>
        <w:tc>
          <w:tcPr>
            <w:tcW w:w="5136" w:type="dxa"/>
            <w:tcBorders/>
            <w:vAlign w:val="center"/>
          </w:tcPr>
          <w:p>
            <w:pPr>
              <w:pStyle w:val="TableContents"/>
              <w:bidi w:val="0"/>
              <w:spacing w:before="0" w:after="283"/>
              <w:jc w:val="left"/>
              <w:rPr/>
            </w:pPr>
            <w:r>
              <w:rPr/>
              <w:t>Attempting to build the entire system at once</w:t>
            </w:r>
          </w:p>
        </w:tc>
        <w:tc>
          <w:tcPr>
            <w:tcW w:w="6203" w:type="dxa"/>
            <w:tcBorders/>
            <w:vAlign w:val="center"/>
          </w:tcPr>
          <w:p>
            <w:pPr>
              <w:pStyle w:val="TableContents"/>
              <w:bidi w:val="0"/>
              <w:spacing w:before="0" w:after="283"/>
              <w:jc w:val="left"/>
              <w:rPr/>
            </w:pPr>
            <w:r>
              <w:rPr/>
              <w:t>Strict adherence to the phased scope in Section 5; each phase separately approved and funded (Section 9.5)</w:t>
            </w:r>
          </w:p>
        </w:tc>
      </w:tr>
      <w:tr>
        <w:trPr/>
        <w:tc>
          <w:tcPr>
            <w:tcW w:w="5136" w:type="dxa"/>
            <w:tcBorders/>
            <w:vAlign w:val="center"/>
          </w:tcPr>
          <w:p>
            <w:pPr>
              <w:pStyle w:val="TableContents"/>
              <w:bidi w:val="0"/>
              <w:spacing w:before="0" w:after="283"/>
              <w:jc w:val="left"/>
              <w:rPr/>
            </w:pPr>
            <w:r>
              <w:rPr/>
              <w:t>Vacant/outdated governance positions delaying funding approval</w:t>
            </w:r>
          </w:p>
        </w:tc>
        <w:tc>
          <w:tcPr>
            <w:tcW w:w="6203" w:type="dxa"/>
            <w:tcBorders/>
            <w:vAlign w:val="center"/>
          </w:tcPr>
          <w:p>
            <w:pPr>
              <w:pStyle w:val="TableContents"/>
              <w:bidi w:val="0"/>
              <w:spacing w:before="0" w:after="283"/>
              <w:jc w:val="left"/>
              <w:rPr/>
            </w:pPr>
            <w:r>
              <w:rPr/>
              <w:t>Board to update Secretary/signatory records ahead of funding resolutions</w:t>
            </w:r>
          </w:p>
        </w:tc>
      </w:tr>
      <w:tr>
        <w:trPr/>
        <w:tc>
          <w:tcPr>
            <w:tcW w:w="5136" w:type="dxa"/>
            <w:tcBorders/>
            <w:vAlign w:val="center"/>
          </w:tcPr>
          <w:p>
            <w:pPr>
              <w:pStyle w:val="TableContents"/>
              <w:bidi w:val="0"/>
              <w:spacing w:before="0" w:after="283"/>
              <w:jc w:val="left"/>
              <w:rPr/>
            </w:pPr>
            <w:r>
              <w:rPr/>
              <w:t>Low adoption across subsidiaries</w:t>
            </w:r>
          </w:p>
        </w:tc>
        <w:tc>
          <w:tcPr>
            <w:tcW w:w="6203" w:type="dxa"/>
            <w:tcBorders/>
            <w:vAlign w:val="center"/>
          </w:tcPr>
          <w:p>
            <w:pPr>
              <w:pStyle w:val="TableContents"/>
              <w:bidi w:val="0"/>
              <w:spacing w:before="0" w:after="283"/>
              <w:jc w:val="left"/>
              <w:rPr/>
            </w:pPr>
            <w:r>
              <w:rPr/>
              <w:t>Role-based training and phased pilot rollout before full Group deployment</w:t>
            </w:r>
          </w:p>
        </w:tc>
      </w:tr>
      <w:tr>
        <w:trPr/>
        <w:tc>
          <w:tcPr>
            <w:tcW w:w="5136" w:type="dxa"/>
            <w:tcBorders/>
            <w:vAlign w:val="center"/>
          </w:tcPr>
          <w:p>
            <w:pPr>
              <w:pStyle w:val="TableContents"/>
              <w:bidi w:val="0"/>
              <w:spacing w:before="0" w:after="283"/>
              <w:jc w:val="left"/>
              <w:rPr/>
            </w:pPr>
            <w:r>
              <w:rPr/>
              <w:t>Poor data quality carried into the new system</w:t>
            </w:r>
          </w:p>
        </w:tc>
        <w:tc>
          <w:tcPr>
            <w:tcW w:w="6203" w:type="dxa"/>
            <w:tcBorders/>
            <w:vAlign w:val="center"/>
          </w:tcPr>
          <w:p>
            <w:pPr>
              <w:pStyle w:val="TableContents"/>
              <w:bidi w:val="0"/>
              <w:spacing w:before="0" w:after="283"/>
              <w:jc w:val="left"/>
              <w:rPr/>
            </w:pPr>
            <w:r>
              <w:rPr/>
              <w:t>Formal data migration process: clean, validate, test import, verify, then go live</w:t>
            </w:r>
          </w:p>
        </w:tc>
      </w:tr>
      <w:tr>
        <w:trPr/>
        <w:tc>
          <w:tcPr>
            <w:tcW w:w="5136" w:type="dxa"/>
            <w:tcBorders/>
            <w:vAlign w:val="center"/>
          </w:tcPr>
          <w:p>
            <w:pPr>
              <w:pStyle w:val="TableContents"/>
              <w:bidi w:val="0"/>
              <w:spacing w:before="0" w:after="283"/>
              <w:jc w:val="left"/>
              <w:rPr/>
            </w:pPr>
            <w:r>
              <w:rPr/>
              <w:t>Underestimated cost or timeline</w:t>
            </w:r>
          </w:p>
        </w:tc>
        <w:tc>
          <w:tcPr>
            <w:tcW w:w="6203" w:type="dxa"/>
            <w:tcBorders/>
            <w:vAlign w:val="center"/>
          </w:tcPr>
          <w:p>
            <w:pPr>
              <w:pStyle w:val="TableContents"/>
              <w:bidi w:val="0"/>
              <w:spacing w:before="0" w:after="283"/>
              <w:jc w:val="left"/>
              <w:rPr/>
            </w:pPr>
            <w:r>
              <w:rPr/>
              <w:t>Obtain quotations and re-estimate schedule against the microservices architecture (Section 9.3) before funding approval; contingency allowance per phase (Section 9.1)</w:t>
            </w:r>
          </w:p>
        </w:tc>
      </w:tr>
      <w:tr>
        <w:trPr/>
        <w:tc>
          <w:tcPr>
            <w:tcW w:w="5136" w:type="dxa"/>
            <w:tcBorders/>
            <w:vAlign w:val="center"/>
          </w:tcPr>
          <w:p>
            <w:pPr>
              <w:pStyle w:val="TableContents"/>
              <w:bidi w:val="0"/>
              <w:spacing w:before="0" w:after="283"/>
              <w:jc w:val="left"/>
              <w:rPr/>
            </w:pPr>
            <w:r>
              <w:rPr/>
              <w:t>Foreign-currency exposure on recurring infrastructure costs</w:t>
            </w:r>
          </w:p>
        </w:tc>
        <w:tc>
          <w:tcPr>
            <w:tcW w:w="6203" w:type="dxa"/>
            <w:tcBorders/>
            <w:vAlign w:val="center"/>
          </w:tcPr>
          <w:p>
            <w:pPr>
              <w:pStyle w:val="TableContents"/>
              <w:bidi w:val="0"/>
              <w:spacing w:before="0" w:after="283"/>
              <w:jc w:val="left"/>
              <w:rPr/>
            </w:pPr>
            <w:r>
              <w:rPr/>
              <w:t>Quantify USD exposure once quotations are obtained; consider partial USD budget holding (Section 9.6)</w:t>
            </w:r>
          </w:p>
        </w:tc>
      </w:tr>
      <w:tr>
        <w:trPr/>
        <w:tc>
          <w:tcPr>
            <w:tcW w:w="5136" w:type="dxa"/>
            <w:tcBorders/>
            <w:vAlign w:val="center"/>
          </w:tcPr>
          <w:p>
            <w:pPr>
              <w:pStyle w:val="TableContents"/>
              <w:bidi w:val="0"/>
              <w:spacing w:before="0" w:after="283"/>
              <w:jc w:val="left"/>
              <w:rPr/>
            </w:pPr>
            <w:r>
              <w:rPr/>
              <w:t>Funding source not confirmed before development starts</w:t>
            </w:r>
          </w:p>
        </w:tc>
        <w:tc>
          <w:tcPr>
            <w:tcW w:w="6203" w:type="dxa"/>
            <w:tcBorders/>
            <w:vAlign w:val="center"/>
          </w:tcPr>
          <w:p>
            <w:pPr>
              <w:pStyle w:val="TableContents"/>
              <w:bidi w:val="0"/>
              <w:spacing w:before="0" w:after="283"/>
              <w:jc w:val="left"/>
              <w:rPr/>
            </w:pPr>
            <w:r>
              <w:rPr/>
              <w:t>Board to select a funding mix (Section 9.4) before Phase 1 development is committed</w:t>
            </w:r>
          </w:p>
        </w:tc>
      </w:tr>
      <w:tr>
        <w:trPr/>
        <w:tc>
          <w:tcPr>
            <w:tcW w:w="5136" w:type="dxa"/>
            <w:tcBorders/>
            <w:vAlign w:val="center"/>
          </w:tcPr>
          <w:p>
            <w:pPr>
              <w:pStyle w:val="TableContents"/>
              <w:bidi w:val="0"/>
              <w:spacing w:before="0" w:after="283"/>
              <w:jc w:val="left"/>
              <w:rPr/>
            </w:pPr>
            <w:r>
              <w:rPr/>
              <w:t>Full microservices architecture adopted for Phase 1 increases operational complexity and skills risk relative to the Feasibility Study's original recommendation</w:t>
            </w:r>
          </w:p>
        </w:tc>
        <w:tc>
          <w:tcPr>
            <w:tcW w:w="6203" w:type="dxa"/>
            <w:tcBorders/>
            <w:vAlign w:val="center"/>
          </w:tcPr>
          <w:p>
            <w:pPr>
              <w:pStyle w:val="TableContents"/>
              <w:bidi w:val="0"/>
              <w:spacing w:before="0" w:after="283"/>
              <w:jc w:val="left"/>
              <w:rPr/>
            </w:pPr>
            <w:r>
              <w:rPr/>
              <w:t>Require the engaged development team to demonstrate Kafka/microservices/AWS ECS delivery experience before development begins (03_Feasibility Study, Section 3.4; 07_System Design Document, Section 12)</w:t>
            </w:r>
          </w:p>
        </w:tc>
      </w:tr>
    </w:tbl>
    <w:p>
      <w:pPr>
        <w:pStyle w:val="Heading2"/>
        <w:bidi w:val="0"/>
        <w:jc w:val="left"/>
        <w:rPr/>
      </w:pPr>
      <w:r>
        <w:rPr/>
        <w:t>11. Recommendation</w:t>
      </w:r>
    </w:p>
    <w:p>
      <w:pPr>
        <w:pStyle w:val="BodyText"/>
        <w:bidi w:val="0"/>
        <w:spacing w:before="180" w:after="180"/>
        <w:ind w:hanging="0" w:left="180" w:right="180"/>
        <w:jc w:val="left"/>
        <w:rPr>
          <w:sz w:val="22"/>
          <w:bdr w:val="single" w:sz="24" w:space="11" w:color="1F3864"/>
          <w:shd w:fill="EAF1FB" w:val="clear"/>
        </w:rPr>
      </w:pPr>
      <w:r>
        <w:rPr>
          <w:sz w:val="22"/>
          <w:bdr w:val="single" w:sz="24" w:space="11" w:color="1F3864"/>
          <w:shd w:fill="EAF1FB" w:val="clear"/>
        </w:rPr>
        <w:t xml:space="preserve">It is recommended that the Board: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Approve, in principle, the phased MBMS roadmap described in Section 5;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Note that the Feasibility Study, SRS and System Design Document are complete, and that the architecture direction has changed from the Feasibility Study's original modular-monolith recommendation to full microservices, per Group decision (07_System Design Document v2.0);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Require the development team selection process to confirm demonstrated microservices/Kafka/AWS ECS delivery experience, not only general web development skill;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Authorize obtaining at least two indicative development quotations for Phase 1, explicitly scoped to the microservices architecture, before releasing development funding;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Indicate a preferred funding mix from the options in Section 9.4, informed by the higher expected cost noted in Section 9; and </w:t>
      </w:r>
    </w:p>
    <w:p>
      <w:pPr>
        <w:pStyle w:val="BodyText"/>
        <w:numPr>
          <w:ilvl w:val="0"/>
          <w:numId w:val="6"/>
        </w:numPr>
        <w:tabs>
          <w:tab w:val="clear" w:pos="1134"/>
          <w:tab w:val="left" w:pos="889" w:leader="none"/>
        </w:tabs>
        <w:bidi w:val="0"/>
        <w:spacing w:before="180" w:after="180"/>
        <w:ind w:hanging="283" w:left="889" w:right="180"/>
        <w:jc w:val="left"/>
        <w:rPr>
          <w:sz w:val="22"/>
          <w:bdr w:val="single" w:sz="24" w:space="11" w:color="1F3864"/>
          <w:shd w:fill="EAF1FB" w:val="clear"/>
        </w:rPr>
      </w:pPr>
      <w:r>
        <w:rPr>
          <w:sz w:val="22"/>
          <w:bdr w:val="single" w:sz="24" w:space="11" w:color="1F3864"/>
          <w:shd w:fill="EAF1FB" w:val="clear"/>
        </w:rPr>
        <w:t xml:space="preserve">Resolve the Secretary/alternate-signatory position noted in Section 7.1 before any funding resolution. </w:t>
      </w:r>
    </w:p>
    <w:p>
      <w:pPr>
        <w:pStyle w:val="Heading2"/>
        <w:bidi w:val="0"/>
        <w:ind w:hanging="0"/>
        <w:jc w:val="left"/>
        <w:rPr/>
      </w:pPr>
      <w:r>
        <w:rPr/>
        <w:t>12. Approval</w:t>
      </w:r>
    </w:p>
    <w:p>
      <w:pPr>
        <w:pStyle w:val="BodyText"/>
        <w:bidi w:val="0"/>
        <w:jc w:val="left"/>
        <w:rPr/>
      </w:pPr>
      <w:r>
        <w:rPr/>
        <w:t>Submitted for the Board's consideration and approval to proceed.</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Proposed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Approved by — Signature &amp; Date</w:t>
      </w:r>
    </w:p>
    <w:p>
      <w:pPr>
        <w:pStyle w:val="BodyText"/>
        <w:bidi w:val="0"/>
        <w:spacing w:before="150" w:after="283"/>
        <w:ind w:hanging="0" w:left="0" w:right="0"/>
        <w:jc w:val="left"/>
        <w:rPr/>
      </w:pPr>
      <w:r>
        <w:rPr>
          <w:b/>
        </w:rPr>
        <w:t>Secretary</w:t>
      </w:r>
      <w:r>
        <w:rPr/>
        <w:t xml:space="preserve"> </w:t>
      </w:r>
      <w:r>
        <w:rPr>
          <w:i/>
        </w:rPr>
        <w:t>(position to be confirmed by the Board — see Section 7.1)</w:t>
      </w:r>
    </w:p>
    <w:p>
      <w:pPr>
        <w:pStyle w:val="BodyText"/>
        <w:bidi w:val="0"/>
        <w:spacing w:before="600" w:after="283"/>
        <w:ind w:hanging="0" w:left="0" w:right="0"/>
        <w:jc w:val="left"/>
        <w:rPr>
          <w:sz w:val="21"/>
          <w:bdr w:val="single" w:sz="2" w:space="3" w:color="333333"/>
        </w:rPr>
      </w:pPr>
      <w:r>
        <w:rPr>
          <w:sz w:val="21"/>
          <w:bdr w:val="single" w:sz="2" w:space="3" w:color="333333"/>
        </w:rPr>
        <w:t>Secretary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Board Resolution for Morise Holdings Limited (14 June 2019); Morise Holdings Limited Business Management System scope document (morise.docx); Multi Holdings Limited Software Development Procedures and Implementation Blueprint; Needed Project Documents checklist; 02_Project Charter; 03_Feasibility Study; 04_Software Requirements Specification; 07_System Design Document (v2.0). Section 9 presents cost categories, cost drivers and funding options rather than fixed monetary figures, since no vendor quotations have yet been obtained. </w:t>
      </w:r>
    </w:p>
    <w:p>
      <w:pPr>
        <w:pStyle w:val="Heading1"/>
      </w:pPr>
      <w:r>
        <w:t>13. Implementation Status Update (18 August 2026)</w:t>
      </w:r>
    </w:p>
    <w:p>
      <w:r>
        <w:t>Development has begun on Phase 1. A working proof-of-concept now exists covering Sprint 1 (Identity Service: authentication, users, roles — 06_User Stories, EPIC-01/EPIC-03) and Sprint 2 (Organization Service: companies, branches, departments — EPIC-02), per the sequencing in 17_Development Plan, Section 5. It demonstrates the centralized-visibility-with-controlled-subsidiary-independence model this proposal is built around: a Managing Director sees the full Group; a Branch Manager scoped to one subsidiary is denied the group-wide view and cannot open a company outside their scope.</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Frontend built with React and JavaScript (not TypeScript), reusing the visual design already established in 18_UI-UX Design. None of Section 5's other Phase 1 modules (Dashboard, Employees, Customers, Suppliers, Products, Basic Accounting) exist yet. Code lives in mbms/, alongside this documentation set (docx/) and the Administrator/Customer mockups (screenshots/). See mbms/README.md for exact run instructions and seeded demo credentials.</w:t>
      </w:r>
    </w:p>
    <w:p>
      <w:pPr>
        <w:pStyle w:val="Heading1"/>
      </w:pPr>
      <w:r>
        <w:t>14. Implementation Status Update 2 (18 August 2026)</w:t>
      </w:r>
    </w:p>
    <w:p>
      <w:r>
        <w:t>Following on from the Sprint 1+2 update above: Employee records (Section 5's 'employees' module) and Basic Accounting (chart of accounts, journal entries, trial balance) are now also working proof-of-concept code, along with a Group and Subsidiary Dashboard. Section 5's Phase 1 module list is now roughly half covered: Company/Branch/Department, Users/Roles, Employees, Basic Accounting and Dashboard are built; Customers, Suppliers and Products are not.</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w:t>
      </w:r>
    </w:p>
    <w:p>
      <w:r>
        <w:t>See mbms/README.md for exact run instructions and seeded demo credentials.</w:t>
      </w:r>
    </w:p>
    <w:p>
      <w:pPr>
        <w:pStyle w:val="Heading1"/>
      </w:pPr>
      <w:r>
        <w:t>15. Implementation Status Update 3 (18 August 2026)</w:t>
      </w:r>
    </w:p>
    <w:p>
      <w:r>
        <w:t>Customer and Supplier records (Section 5's remaining two Phase 1 module names) are now also working proof-of-concept code. Section 5's full Phase 1 module list is now covered except Products: Authentication, Company/Branch/Department, Users/Roles, Employees, Customers, Suppliers, Basic Accounting and Dashboard are built.</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16. Implementation Status Update 4 (18 August 2026)</w:t>
      </w:r>
    </w:p>
    <w:p>
      <w:r>
        <w:t>Products complete Section 5's Phase 1 module list — every representative module named there (Authentication; company/branch/department management; user, role &amp; permission management; dashboard; employees; customers; suppliers; products; basic accounting) now has working proof-of-concept code.</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17. Implementation Status Update 5 (18 August 2026) — Phase 1 Module List Complete</w:t>
      </w:r>
    </w:p>
    <w:p>
      <w:r>
        <w:t>The System Audit Trail now has working proof-of-concept code, completing every module named in Section 5's Phase 1 list. This is a milestone worth flagging distinctly from the previous four incremental updates: as of this update, a working end-to-end demo exists for the entire Phase 1 scope this proposal originally requested approval for — not a conforming production implementation (the architecture gap below is unchanged and substantial), but functional proof that the scope is buildable and coherent.</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18. Implementation Status Update 6 (18 August 2026) — Sprint 1 Re-verified</w:t>
      </w:r>
    </w:p>
    <w:p>
      <w:r>
        <w:t>Rather than adding a new module, this update revisited Sprint 1 (Authentication, Users, Roles, Permissions) — the earliest slice built — and checked it line-by-line against the requirements this proposal's scope was built from, rather than trusting that early code had kept pace with later ones. 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19. Implementation Status Update 7 (18 August 2026) — Sprint 2 Re-verified</w:t>
      </w:r>
    </w:p>
    <w:p>
      <w:r>
        <w:t>Following the same re-verification method used for Sprint 1, this update checked Sprint 2 (Holding Company, Subsidiaries, Branches and Departments) against the requirements this proposal's Group structure section was built from. 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20. Implementation Status Update 8 (18 August 2026) — Sprint 3 Re-verified</w:t>
      </w:r>
    </w:p>
    <w:p>
      <w:r>
        <w:t>Following the same method used for Sprints 1 and 2, this update checked Sprint 3 (Employees and HR) against the requirements this proposal's HR scope was built from. 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21. Implementation Status Update 9 (18 August 2026) — Sprint 4 Re-verified</w:t>
      </w:r>
    </w:p>
    <w:p>
      <w:r>
        <w:t>Following the same method used for Sprints 1-3, this update checked Sprint 4 (Customers and Suppliers) against the requirements this proposal's operational scope was built from. 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22. Implementation Status Update 10 (18 August 2026) — Sprint 5 Re-verified</w:t>
      </w:r>
    </w:p>
    <w:p>
      <w:r>
        <w:t>Following the same method used for Sprints 1-4, this update checked Sprint 5 (Products and Categories) against the requirements this proposal's operational scope was built from. 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w:t>
      </w:r>
    </w:p>
    <w:p>
      <w:r>
        <w:t>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See mbms/README.md, "Sprint 5 verification pass", for the full detail and verification method.</w:t>
      </w:r>
    </w:p>
    <w:p>
      <w:pPr>
        <w:pStyle w:val="Heading1"/>
      </w:pPr>
      <w:r>
        <w:t>23. Implementation Status Update 11 (18 August 2026) — Sprint 6 Re-verified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Two requirement gaps were found and fixed: FR-ACC-03 only had a trial balance report (an account-level summary), not an actual general ledger (a transaction-level, running-balance view per account) — a new general ledger report was added. FR-DASH-02's chart-of-accounts summary was only reachable via accounting.viewAll, a Group-level-only permission — a subsidiary-scoped Finance Manager could never see it on their own dashboard; now included there for anyone holding either accounting permission for that company. Audit Trail was re-checked with no new gaps found, plus a documented clarification that the 'delete' audit action never fires anywhere, since this system uses status changes instead of hard deletes throughout, by design. See mbms/README.md, "Sprint 6 verification pass", for the full detail and verification method.</w:t>
      </w:r>
    </w:p>
    <w:p>
      <w:pPr>
        <w:pStyle w:val="Heading1"/>
      </w:pPr>
      <w:r>
        <w:t>24. Implementation Status Update 12 (18 August 2026) — Sprint 7 Security Testing</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10_Test Plan Sections 3.3 (Contract Testing) and 3.4 (System/E2E Testing) are written against the approved Kafka/microservices architecture and don't apply as literally specified to this monolith — the same architecture gap noted throughout this document set; their spirit is what every sprint's curl/Playwright verification has already been doing since Sprint 1. Section 3.5 (Security Testing) does apply regardless of architecture and was run in full: SEC-01 (server-side RBAC), SEC-02 (SQL injection/XSS), SEC-05 (rate limiting) and SEC-06 (admin actions audited) were all confirmed working live, with one polish fix (a leaking internal exception message on rate-limited responses, now cleaned up). SEC-03 (CSRF) is structurally not applicable — Bearer-token auth, no cookies. SEC-04 (file upload validation) is not applicable — no file upload exists anywhere in this system. SEC-07 (2FA, Could priority) remains not implemented. NFR-08 (TLS) is a deployment concern, out of scope locally; NFR-09 (password hashing) was confirmed — bcrypt, cost factor 12, everywhere. See mbms/README.md, "Sprint 7: security testing pass", for the full detail and verification method.</w:t>
      </w:r>
    </w:p>
    <w:p>
      <w:pPr>
        <w:pStyle w:val="Heading1"/>
      </w:pPr>
      <w:r>
        <w:t>25. Implementation Status Update 13 (18 August 2026) — Critical Scope-Bypass Bug Found and Fixed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See mbms/README.md, "Sprint 8: performance, Alpha and UAT pass", for the full detail and verification method.</w:t>
      </w:r>
    </w:p>
    <w:p>
      <w:pPr>
        <w:pStyle w:val="Heading1"/>
      </w:pPr>
      <w:r>
        <w:t>26. Implementation Status Update 14 (18 August 2026) — Sprint 9: Expense Management (Phase 2)</w:t>
      </w:r>
    </w:p>
    <w:p>
      <w:r>
        <w:t>Scope note: unlike Sprints 6–8, this sprint's request (“Expenses”) did not conflict with an already-defined, still-open Phase 1 sprint — 17_Development Plan's Section 6 table (Sprints 0–8) was already fully built or run by the previous update. Expense Management is the first module named in this Proposal's own Section 5 Phase 2 list (“Sales, Procurement, Inventory, Warehouse, Expenses, Assets, Projects”) to actually receive code, ahead of Phase 2 being formally proposed, budgeted or Board-approved as Section 5's phase-gated funding model calls for.</w:t>
      </w:r>
    </w:p>
    <w:p>
      <w:r>
        <w:t>What was built: expense claim submission, a two-step manager/finance approval workflow, rejection with reason, and payment that posts a balanced journal entry to the ledger — the self-service “expense claims” capability this Proposal already promised end users. See mbms/README.md, “Sprint 9”, for the full detail and verification method, and 04_Software Requirements Specification, Section 4.12 for the requirement text it was built against.</w:t>
      </w:r>
    </w:p>
    <w:p>
      <w:r>
        <w:t>Because Phase 2 was not separately proposed or budgeted before this work started, the Board should treat this as a proof-of-concept extension beyond the originally authorized Phase 1 scope, not evidence that Phase 2's own feasibility, budget or timeline (still to be defined per Section 5) has been assessed.</w:t>
      </w:r>
    </w:p>
    <w:p>
      <w:pPr>
        <w:pStyle w:val="Heading1"/>
      </w:pPr>
      <w:r>
        <w:t>27. Implementation Status Update 15 (18 August 2026) — Sprint 10: Full Accounting</w:t>
      </w:r>
    </w:p>
    <w:p>
      <w:r>
        <w:t>Scope note: this sprint's request (“Accounting”) was traced to Multi_Holdings_Limited_Software_Development_Procedures.docx, Section 12's own 14-sprint table, where it is literally “Sprint 10” — the same table every sprint request since Sprint 1 has actually matched, confirmed only this sprint. See mbms/README.md, “Sprint 10”, for the full discovery and what it means for Sprints 6–8.</w:t>
      </w:r>
    </w:p>
    <w:p>
      <w:r>
        <w:t>What was built: recurring/adjusting journal entry templates (FR-ACC-07, unbuilt since this Proposal's Section 5 accounting scope was first delivered), Income Statement and Balance Sheet reports, and a consolidated group-rollup view across a holding company's subsidiaries — the “financial reports” this Proposal's own Section 4/8 language already named as a benefit of the system. See 04_Software Requirements Specification, Section 4.9 (FR-ACC-08/09, new this sprint) for the requirement text.</w:t>
      </w:r>
    </w:p>
    <w:p>
      <w:r>
        <w:t>As with Sprint 9, this deepens Phase 1's Accounting module and pulls two Phase 3 items (financial statements, consolidated accounting) forward ahead of Phase 3 being formally proposed or budgeted — evidence of what's technically buildable, not a Phase 3 feasibility or budget assessment.</w:t>
      </w:r>
    </w:p>
    <w:p>
      <w:pPr>
        <w:pStyle w:val="Heading1"/>
      </w:pPr>
      <w:r>
        <w:t>28. Implementation Status Update 16 (18 August 2026) — Sprint 11: Asset Management</w:t>
      </w:r>
    </w:p>
    <w:p>
      <w:r>
        <w:t>Scope note: this sprint's request (“Assets”) matches Multi_Holdings_Limited_Software_Development_Procedures.docx's own Sprint 11 directly — no redirect needed, the same as Sprint 10.</w:t>
      </w:r>
    </w:p>
    <w:p>
      <w:r>
        <w:t>What was built: asset registration (number, category, location, custodian), straight-line depreciation posting to the ledger, a three-step disposal workflow (request → management approval/inspection → dispose, posting a full derecognition entry), and maintenance logging — the asset tracking this Proposal's own Section 4/8 language named as a benefit (“asset holdings” visibility, “fewer asset losses through better tracking”). See mbms/README.md, “Sprint 11”.</w:t>
      </w:r>
    </w:p>
    <w:p>
      <w:r>
        <w:t>Phase 2 pulled forward ahead of formal Phase 2 proposal/budget, the same judgment call as Sprint 9.</w:t>
      </w:r>
    </w:p>
    <w:p>
      <w:pPr>
        <w:pStyle w:val="Heading1"/>
      </w:pPr>
      <w:r>
        <w:t>29. Implementation Status Update 17 (18 August 2026) — Sprint 12: Project Management</w:t>
      </w:r>
    </w:p>
    <w:p>
      <w:r>
        <w:t>Scope note: this sprint's request (“Projects”) matches Multi_Holdings_Limited_Software_Development_Procedures.docx's own Sprint 12 directly — no redirect needed, the same as Sprints 10 and 11.</w:t>
      </w:r>
    </w:p>
    <w:p>
      <w:r>
        <w:t>What was built: project registration, team/task management, milestones, a five-step status lifecycle, and profitability review — reusing the existing Expense Service (Sprint 9) for “Progress &amp; Expenses Recorded” rather than building a second expense concept. This is the capability this Proposal's own sample question names directly: “Which projects are profitable?” See mbms/README.md, “Sprint 12”.</w:t>
      </w:r>
    </w:p>
    <w:p>
      <w:r>
        <w:t>Phase 2 pulled forward ahead of formal Phase 2 proposal/budget, the same judgment call as Sprints 9 and 11.</w:t>
      </w:r>
    </w:p>
    <w:p>
      <w:pPr>
        <w:pStyle w:val="Heading1"/>
      </w:pPr>
      <w:r>
        <w:t>30. Implementation Status Update 18 (18 August 2026) — Sprint 13: Reports</w:t>
      </w:r>
    </w:p>
    <w:p>
      <w:r>
        <w:t>Scope note: this sprint's request (“Reports”) matches Multi_Holdings_Limited_Software_Development_Procedures.docx's own Sprint 13 directly — no redirect needed, the same as Sprints 10 through 12. Unlike every sprint since Sprint 9, this one is Phase 1 scope, not a Phase 2 pull-forward: 04_Software Requirements Specification, Section 8 (RPT-01–06) already specified this from the document's first version.</w:t>
      </w:r>
    </w:p>
    <w:p>
      <w:r>
        <w:t>What was built: company/branch, employee, customer, supplier, chart-of-accounts/trial-balance and audit trail reports, each exportable to CSV or a real PDF — the “consolidated view” and “collated reporting” this Proposal's own problem statement named as currently requiring manual effort. See mbms/README.md, “Sprint 13”.</w:t>
      </w:r>
    </w:p>
    <w:p>
      <w:r>
        <w:t>This closes RPT-01 through RPT-06, unbuilt since this Proposal's own reference document set was first approved.</w:t>
      </w:r>
    </w:p>
    <w:p>
      <w:pPr>
        <w:pStyle w:val="Heading1"/>
      </w:pPr>
      <w:r>
        <w:t>31. Implementation Status Update 19 (18 August 2026) — Sprint 14: Dashboard, Notifications and Audit Trail</w:t>
      </w:r>
    </w:p>
    <w:p>
      <w:r>
        <w:t>Scope note: this sprint's request matches Multi_Holdings_Limited_Software_Development_Procedures.docx's own Sprint 14 — the last row in that table — directly. Dashboard and Audit Trail were already built (Phase 1) and re-verified; Notifications was genuinely unbuilt, deferred since Sprint 1.</w:t>
      </w:r>
    </w:p>
    <w:p>
      <w:r>
        <w:t>What was built: an in-app notification feed wired into the expense-approval and asset-disposal workflows, plus a Dashboard deepening covering every Phase 2 module built since Sprint 6 (assets/projects summaries, pending-approval counts). This is the “management should be able to view dashboards ... receive notifications” capability this Proposal's own Section 4/8 language named. See mbms/README.md, “Sprint 14”.</w:t>
      </w:r>
    </w:p>
    <w:p>
      <w:r>
        <w:t>This closes every sprint in this Proposal's own reference document set's 14-sprint order except Procurement, Sales and Inventory.</w:t>
      </w:r>
    </w:p>
    <w:p>
      <w:pPr>
        <w:pStyle w:val="Heading1"/>
      </w:pPr>
      <w:r>
        <w:t>32. Implementation Status Update 20 (19 August 2026) — Company and Holdings Management Deepening</w:t>
      </w:r>
    </w:p>
    <w:p>
      <w:r>
        <w:t>Scope note: this update was requested directly against morise.docx, Section 2 (“Company and Holdings Management”)'s full feature list, not framed as a numbered sprint. Most items were already built (Sprint 2 hierarchy/ownership/registration, Sprint 10 per-company currency/financial years); four were genuinely missing.</w:t>
      </w:r>
    </w:p>
    <w:p>
      <w:r>
        <w:t>What was built: company-specific policies, inter-company transactions (double-entry, one balanced journal entry per company via clearing accounts), cross-company asset transfer, and a consolidated group/subsidiary-comparison report. This is the “consolidate subsidiary information,” “transfer or share resources between companies,” and “compare performance of subsidiaries” language this Proposal's own Section 4 scope names for the Group structure. See mbms/README.md, “Company and Holdings Management: policies, inter-company transactions and cross-company asset transfers.”</w:t>
      </w:r>
    </w:p>
    <w:p>
      <w:pPr>
        <w:pStyle w:val="Heading1"/>
      </w:pPr>
      <w:r>
        <w:t>33.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34. 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35.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36. 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This closes the last Phase 1 module this proposal's own scope named that had no running code behind it (Sales/Invoicing) before Sprint 16, and adds the portal's public-facing entry point.</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37.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38.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Proposed Scope (Section 5) is unchanged in substance; this update records that the Phase 1 admin information architecture has been reorganised into the four categories above. The planned (*) items represent scope already named elsewhere in this proposal (inventory, payroll, marketing) now given explicit navigation placeholders rather than new scope.</w:t>
      </w:r>
    </w:p>
    <w:p>
      <w:pPr>
        <w:pStyle w:val="Heading1"/>
      </w:pPr>
      <w:r>
        <w:t>39.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Proposed Scope is unchanged in substance. This records that access administration is now delegated: the Managing Director holds full grant authority and may delegate operational access to Branch Managers (own branch) and HR access to HR Managers (own scope), rather than all grants flowing through a single system administrator.</w:t>
      </w:r>
    </w:p>
    <w:p>
      <w:pPr>
        <w:pStyle w:val="Heading1"/>
      </w:pPr>
      <w:r>
        <w:t>40.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Reinforces the least-privilege intent of the proposal: a user is presented only with the operations they have been granted, which keeps each role's view of the system small and reduces mis-operation. No scope change.</w:t>
      </w:r>
    </w:p>
    <w:p>
      <w:pPr>
        <w:pStyle w:val="Heading1"/>
      </w:pPr>
      <w:r>
        <w:t>41.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Supports the proposal's aim of a customer-facing self-service channel that works for Ugandan businesses: the storefront can be read in the customer's own language. Scope of the system is unchanged; this is a usability addition to an existing module.</w:t>
      </w:r>
    </w:p>
    <w:p>
      <w:pPr>
        <w:pStyle w:val="Heading1"/>
      </w:pPr>
      <w:r>
        <w:t>42.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Widens the reach of the customer self-service channel beyond Uganda: a business customer anywhere the Group trades can use the storefront in a major language of their region. Scope of the system is unchanged.</w:t>
      </w:r>
    </w:p>
    <w:p>
      <w:pPr>
        <w:pStyle w:val="Heading1"/>
      </w:pPr>
      <w:r>
        <w:t>43.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Completes the intent behind offering the storefront in many languages: a customer who selects their language sees the entire self-service experience in it, which is what makes the feature useful in practice. No scope change.</w:t>
      </w:r>
    </w:p>
    <w:p>
      <w:pPr>
        <w:pStyle w:val="Heading1"/>
      </w:pPr>
      <w:r>
        <w:t>44.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Completes the localisation goal: a customer transacts entirely in their own language — the products they browse, the statuses they track and the messages they exchange — while the business keeps a single, English canonical record. No scope change.</w:t>
      </w:r>
    </w:p>
    <w:p>
      <w:pPr>
        <w:pStyle w:val="Heading1"/>
      </w:pPr>
      <w:r>
        <w:t>45.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Rounds out the localisation goal: a customer reads prices, balances and quantities in the form their language and region use, while the business keeps one canonical set of figures. No scope change.</w:t>
      </w:r>
    </w:p>
    <w:p>
      <w:pPr>
        <w:pStyle w:val="Heading1"/>
      </w:pPr>
      <w:r>
        <w:t>46.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Scope note: the Group can now stand up and wind down subsidiaries within MBMS end to end, and a Clearing, Forwarding &amp; Logistics subsidiary has been added to the group structure with its own branches, departments and policies. Its operational system is specified separately (doc 19) as future scope.</w:t>
      </w:r>
    </w:p>
    <w:p>
      <w:pPr>
        <w:pStyle w:val="Heading1"/>
      </w:pPr>
      <w:r>
        <w:t>47.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Scope note: a second new subsidiary — multi-branch warehousing for Uganda — is added to the group structure with its own branches, departments and policies. Its operational system (doc 20) is future scope.</w:t>
      </w:r>
    </w:p>
    <w:p>
      <w:pPr>
        <w:pStyle w:val="Heading1"/>
      </w:pPr>
      <w:r>
        <w:t>48.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Scope note: Inventory moves from a planned placeholder to a live module. The system now answers “what stock do we hold, what is it worth, and what is running low” at company level, with a full history of every stock change.</w:t>
      </w:r>
    </w:p>
    <w:p>
      <w:pPr>
        <w:pStyle w:val="Heading1"/>
      </w:pPr>
      <w:r>
        <w:t>49.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Scope note: the storefront now has working promotions (discount codes, home banners) and editable content pages, all managed from the admin app. Both were placeholders in the navigation redesign.</w:t>
      </w:r>
    </w:p>
    <w:p>
      <w:pPr>
        <w:pStyle w:val="Heading1"/>
      </w:pPr>
      <w:r>
        <w:t>50.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Scope note: the Managing Director's stated ability to view, create, update, delete and execute across the business now explicitly covers the storefront's Marketing &amp; Promos and CMS / Site Builder sections.</w:t>
      </w:r>
    </w:p>
    <w:p>
      <w:pPr>
        <w:pStyle w:val="Heading1"/>
      </w:pPr>
      <w:r>
        <w:t>51.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Scope note: “the whole storefront changes with the language” now includes promotional banners and the static content pages, not only the catalogue and support screens.</w:t>
      </w:r>
    </w:p>
    <w:p>
      <w:pPr>
        <w:pStyle w:val="Heading1"/>
      </w:pPr>
      <w:r>
        <w:t>52.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Scope note: HR now has a single oversight dashboard (headcount, attendance, recruitment, upcoming events) and a dedicated screen for the department structure — both were placeholders in the navigation redesign.</w:t>
      </w:r>
    </w:p>
    <w:p>
      <w:pPr>
        <w:pStyle w:val="Heading1"/>
      </w:pPr>
      <w:r>
        <w:t>53.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Scope note: HR staff can now build and publish weekly work rosters, and run a monthly payroll that computes Uganda PAYE and NSSF, produces payslips, recovers salary advances and posts to the ledger. Both were placeholders in the navigation redesign; the HR section now has no “Coming Soon” items.</w:t>
      </w:r>
    </w:p>
    <w:p>
      <w:pPr>
        <w:pStyle w:val="Heading1"/>
      </w:pPr>
      <w:r>
        <w:t>54.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Scope note: employees now have a self-service area — clock in and out, see leave balances and apply for leave, view their roster, read their performance reviews, download-equivalent view their payslips, and request a salary advance. With this the entire regrouped navigation (ADMIN, HUMAN RESOURCES, MY HR) has no “Coming Soon” items; only the Financial &amp; Accounting overview tile remains a landing placeholder.</w:t>
      </w:r>
    </w:p>
    <w:p>
      <w:pPr>
        <w:pStyle w:val="Heading1"/>
      </w:pPr>
      <w:r>
        <w:t>55.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Scope note: the employee self-service area is now demonstrable from any seeded staff account, not just one.</w:t>
      </w:r>
    </w:p>
    <w:p>
      <w:pPr>
        <w:pStyle w:val="Heading1"/>
      </w:pPr>
      <w:r>
        <w:t>56.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Scope note: the finance area now has a landing overview that shows the group's financial position, what needs attention and the period-close status at a glance, with links into every working finance screen. The regrouped navigation has no unbuilt screens left.</w:t>
      </w:r>
    </w:p>
    <w:p>
      <w:pPr>
        <w:pStyle w:val="Heading1"/>
      </w:pPr>
      <w:r>
        <w:t>57.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Scope note: the Customer Storefront now supports customer self-registration and password self-service, and accepts a phone number or Google account for sign-in — not only a staff-issued email or account number.</w:t>
      </w:r>
    </w:p>
    <w:p>
      <w:pPr>
        <w:pStyle w:val="Heading1"/>
      </w:pPr>
      <w:r>
        <w:t>58.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Scope note — the Customer Storefront is now a group storefront: one shop for every subsidiary's goods and services, with clear company and branch attribution, reached through one account that spans the group.</w:t>
      </w:r>
    </w:p>
    <w:p>
      <w:pPr>
        <w:pStyle w:val="Heading1"/>
      </w:pPr>
      <w:r>
        <w:t>59.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Scope note — all four Morise subsidiaries now sell through the one customer storefront; the two logistics-side companies contribute customs, freight-forwarding and warehousing services.</w:t>
      </w:r>
    </w:p>
    <w:p>
      <w:pPr>
        <w:pStyle w:val="Heading1"/>
      </w:pPr>
      <w:r>
        <w:t>60.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Scope note — the storefront's "read in your language, store in English" behaviour now covers the whole group catalogue, the subsidiary directory and account profile, not only the original single-company catalogue and support text.</w:t>
      </w:r>
    </w:p>
    <w:p>
      <w:pPr>
        <w:pStyle w:val="Heading1"/>
      </w:pPr>
      <w:r>
        <w:t>61.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Scope note — the Phase 1 API now ships a live, self-updating OpenAPI/Swagger contract at /api/v1/docs; nothing in scope or budget changes, but “API documentation” is a delivered artefact rather than a future deliverable.</w:t>
      </w:r>
    </w:p>
    <w:p>
      <w:pPr>
        <w:pStyle w:val="Heading1"/>
      </w:pPr>
      <w:r>
        <w:t>62.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Scope note — “customer storefront landing page” is now a small public corporate site (landing + Companies + Profile + Governance + Group Overview + News + Contacts). No change to Phase 1 scope or budget; one additive public read endpoint, no schema change.</w:t>
      </w:r>
    </w:p>
    <w:p>
      <w:pPr>
        <w:pStyle w:val="Heading1"/>
      </w:pPr>
      <w:r>
        <w:t>63.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Scope note — no material impact — this update only changes the CSS of the public corporate pages (fonts, colours, radii) to match the storefront. No requirement, interface, data, process or plan item changes.</w:t>
      </w:r>
    </w:p>
    <w:p>
      <w:pPr>
        <w:pStyle w:val="Heading1"/>
      </w:pPr>
      <w:r>
        <w:t>64.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Scope note — no material impact — this update only changes which shell and CSS the public /page/:slug content pages use, so they match the rest of the corporate site. No requirement, interface, data, process or plan item changes.</w:t>
      </w:r>
    </w:p>
    <w:p>
      <w:pPr>
        <w:pStyle w:val="Heading1"/>
      </w:pPr>
      <w:r>
        <w:t>65.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Scope note — a small additive feature (one table, one admin panel, one public read) that lets the group publish its social channels. No change to Phase 1 scope or budget; reuses existing CMS permissions.</w:t>
      </w:r>
    </w:p>
    <w:p>
      <w:pPr>
        <w:pStyle w:val="Heading1"/>
      </w:pPr>
      <w:r>
        <w:t>66.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Scope note — an additive landing-page feature (newsletter capture + admin-managed FAQ). Two small tables, an admin panel and two public endpoints; reuses the existing CMS permissions. No change to Phase 1 scope or budget.</w:t>
      </w:r>
    </w:p>
    <w:p>
      <w:pPr>
        <w:pStyle w:val="Heading1"/>
      </w:pPr>
      <w:r>
        <w:t>67.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Scope note — no material impact — this update only extends the existing read-in-language / store-in-English behaviour to order history and payments. No new endpoint, permission, process or plan item; one additive migration (two nullable columns on orders).</w:t>
      </w:r>
    </w:p>
    <w:p>
      <w:pPr>
        <w:pStyle w:val="Heading1"/>
      </w:pPr>
      <w:r>
        <w:t>68.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Scope note — no material impact — this update only extends the existing read-in-language / store-in-English behaviour to three remaining edges (the dashboard recent-orders widget, the account statement and its PDFs, and the typed discount code). No new endpoint, permission, schema, process or plan item.</w:t>
      </w:r>
    </w:p>
    <w:p>
      <w:pPr>
        <w:pStyle w:val="Heading1"/>
      </w:pPr>
      <w:r>
        <w:t>69.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Scope note — the group gains a third specification-stage subsidiary, Morise Collateral Management Ltd (collateral management agent). Its Multi-Site Collateral Management System is a phased backlog in the new doc 21, not built. No change to the current Phase 1 scope or budget; seed data only.</w:t>
      </w:r>
    </w:p>
    <w:p>
      <w:pPr>
        <w:pStyle w:val="Heading1"/>
      </w:pPr>
      <w:r>
        <w:t>70.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Scope note — no material impact — this update changes the demonstration disclaimer from a modal into a first-shown full-page gate with a 10-second hold, and moves its statements into an admin-managed table (one additive migration; reuses the existing CMS permissions).</w:t>
      </w:r>
    </w:p>
    <w:p>
      <w:pPr>
        <w:pStyle w:val="Heading1"/>
      </w:pPr>
      <w:r>
        <w:t>71.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Scope note — no material impact — this update only translates the pre-login corporate / disclaimer / landing UI strings into the eight fully-supported languages and adds first-visit language detection. No new endpoint, permission or schema; no change to any built feature.</w:t>
      </w:r>
    </w:p>
    <w:p>
      <w:pPr>
        <w:pStyle w:val="Heading1"/>
      </w:pPr>
      <w:r>
        <w:t>72.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Scope note — no material impact — this update only seeds a priced service catalogue for Morise Collateral Management Ltd into the existing group-storefront mechanism, plus glossary entries so the rows localise. No code, schema, permission or interface change. Morise Collateral Management Ltd becomes the fifth selling subsidiary in the storefront.</w:t>
      </w:r>
    </w:p>
    <w:p>
      <w:pPr>
        <w:pStyle w:val="Heading1"/>
      </w:pPr>
      <w:r>
        <w:t>73.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Scope note — no material impact — this update only expands the seeded Managing Director role to the full permission set and makes sixteen admin screens' in-page controls permission-aware. No new permission code, endpoint, schema or migration; the API's per-route enforcement is unchanged.</w:t>
      </w:r>
    </w:p>
    <w:p>
      <w:pPr>
        <w:pStyle w:val="Heading1"/>
      </w:pPr>
      <w:r>
        <w:t>74.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Scope note — no material impact — this update only adds brand SVG assets, a brand sheet and a shared Logo component, and swaps the letter-“M” placeholders in both React apps for it. No backend, permission, endpoint, schema or migration change.</w:t>
      </w:r>
    </w:p>
    <w:p>
      <w:pPr>
        <w:pStyle w:val="Heading1"/>
      </w:pPr>
      <w:r>
        <w:t>75.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Scope note — no material impact — this update only adds SVG banner assets under brand/banners/, layers a hero background image in two CSS rules, adds Open Graph meta tags, and curates three text-only storefront promo banners in seed data. No backend, permission, endpoint, schema or migration change.</w:t>
      </w:r>
    </w:p>
    <w:p>
      <w:pPr>
        <w:pStyle w:val="Heading1"/>
      </w:pPr>
      <w:r>
        <w:t>76.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Scope note — no material impact — this update only displays the existing brand/banners/ SVGs on storefront pages that previously showed empty placeholders or a plain gradient. Storefront front-end only; no backend, permission, endpoint, schema or migration change.</w:t>
      </w:r>
    </w:p>
    <w:p>
      <w:pPr>
        <w:pStyle w:val="Heading1"/>
      </w:pPr>
      <w:r>
        <w:t>77.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Scope note — the documentation set gains a fourth subsidiary-system spec (doc 22), a Delivery Management System owned by Morise Logistics Ltd. A Phase 1 back end (data model + staff / customer APIs, scoped and audited) is already built in MBMS but switched off pending permission seeding, seed data and an admin UI; the wider platform is future scope.</w:t>
      </w:r>
    </w:p>
    <w:p>
      <w:pPr>
        <w:pStyle w:val="Heading1"/>
      </w:pPr>
      <w:r>
        <w:t>78.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Scope note — the set records a new customer-facing concept: an automatic Morise-stamped invoice issued when a Morise Logistics Ltd delivery is acknowledged by the customer as received in good condition. Specification only (doc 22 addendum); depends on the switched-off delivery back end; no code, schema or API change.</w:t>
      </w:r>
    </w:p>
    <w:p>
      <w:pPr>
        <w:pStyle w:val="Heading1"/>
      </w:pPr>
      <w:r>
        <w:t>79.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Scope note — the set records the admin delivery-assignment workflow: a dispatcher assigns a Morise Logistics Ltd delivery persona to a customer's order. The endpoints exist in the Phase 1 back end but are switched off (permissions unseeded, no dispatch screen). No code, schema or API change.</w:t>
      </w:r>
    </w:p>
    <w:p>
      <w:pPr>
        <w:pStyle w:val="Heading1"/>
      </w:pPr>
      <w:r>
        <w:t>80.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Scope note — delivery is now activated: the permission codes are seeded and granted, so the dispatch / assignment API is reachable. This supersedes the “switched off / 403” note in Updates 65—67. Remaining: demo personas, the Admin screen, an openapi.json regeneration.</w:t>
      </w:r>
    </w:p>
    <w:p>
      <w:pPr>
        <w:pStyle w:val="Heading1"/>
      </w:pPr>
      <w:r>
        <w:t>81.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Scope note — customer-storefront wording only: “product catalog” — “services catalog”, “Add to Cart” — “Add to Invoice”, “Cart” — “Invoice”. Front-end strings in en.js plus the ten translated language tables; no route, API, schema or permission change.</w:t>
      </w:r>
    </w:p>
    <w:p>
      <w:pPr>
        <w:pStyle w:val="Heading1"/>
      </w:pPr>
      <w:r>
        <w:t>82.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Scope note — the set records a Payroll Management feature specification: a multi-subsidiary payroll system (salary structures, allowances, overtime, bonuses, commissions, deductions, loans, advances, taxes, statutory, pension, approval, payslips, bank schedules, history, and department / company / consolidated reports). The core (runs, payslips, PAYE / NSSF, advances, approval, GL posting, multi-subsidiary) is built (Update 41); the structure, bank-schedule and reporting pieces are backlog. Spec only; no code / schema / API change.</w:t>
      </w:r>
    </w:p>
    <w:p>
      <w:pPr>
        <w:pStyle w:val="Heading1"/>
      </w:pPr>
      <w:r>
        <w:t>83.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Scope note — salary structures / allowances / overtime / bonuses are now built (first slice of the Update 70 payroll backlog): a salary_components model per employee feeds each payroll run's gross, with a payslip earnings breakdown. New endpoints under the existing payroll permissions; one migration. The remaining payroll backlog is unchanged.</w:t>
      </w:r>
    </w:p>
    <w:p>
      <w:pPr>
        <w:pStyle w:val="Heading1"/>
      </w:pPr>
      <w:r>
        <w:t>84.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Scope note — the set records a “7. Accounting and Finance” section: General Ledger, Accounts Receivable, Accounts Payable and Financial Statements. Substantially built already (Sprint 10 + Financial Module Deepening, 19 Aug 2026); the one gap is a dedicated AR sub-ledger reconciliation. Specification / status record only; no code / schema / API change.</w:t>
      </w:r>
    </w:p>
    <w:p>
      <w:pPr>
        <w:pStyle w:val="Heading1"/>
      </w:pPr>
      <w:r>
        <w:t>85.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Scope note — the set records a “Cash and Bank Management” section (12 features). Bank / cash reconciliation and a group cash position are built (via the ledger's AccountReconciliation and the dashboard financials); bank / cash accounts, deposits, withdrawals and transfers work today as GL accounts + manual journal entries; petty cash, payment / receipt vouchers, cash-flow forecasting and a dedicated cash-position report are backlog. Spec / status record only; no code / schema / API change.</w:t>
      </w:r>
    </w:p>
    <w:p>
      <w:pPr>
        <w:pStyle w:val="Heading1"/>
      </w:pPr>
      <w:r>
        <w:t>86.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Scope note — records a “Budget Management” section (13 features). Company budgets, project budgets and budget-versus-actual are built (the Budget model + /accounting/reports/budget-vs-actual + Project.budget); annual / department / group / capex-opex budgets, an approval workflow, versioned revisions, a utilization report, budget alerts and deeper variance analysis are backlog. Spec / status record only; no code / schema / API change.</w:t>
      </w:r>
    </w:p>
    <w:p>
      <w:pPr>
        <w:pStyle w:val="Heading1"/>
      </w:pPr>
      <w:r>
        <w:t>87.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Scope note — records a “Sales Management” section (Customer Management, Sales, CRM). Customer Management and the Sales core (orders, invoices, credit notes, discounts, promotions, statements, history) are built; quotations, delivery-note / receipt documents, sales returns, commissions, targets, sales performance and the entire CRM (leads / opportunities / pipeline / activity log) are backlog. Spec / status record only; no code / schema / API change.</w:t>
      </w:r>
    </w:p>
    <w:p>
      <w:pPr>
        <w:pStyle w:val="Heading1"/>
      </w:pPr>
      <w:r>
        <w:t>88.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Scope note — records a “Procurement and Purchasing” section (11 features + the end-to-end workflow). Supplier invoices and their approval are built (Accounts Payable); requisitions, purchase orders, RFQs, supplier quotations &amp; comparison, goods received notes, purchase returns and procurement reporting are backlog. Spec / status record only; no code / schema / API change.</w:t>
      </w:r>
    </w:p>
    <w:p>
      <w:pPr>
        <w:pStyle w:val="Heading1"/>
      </w:pPr>
      <w:r>
        <w:t>89.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Scope note — records a “Supplier Management” section (13 features). Supplier registration, profiles, categories, tax info, bank details (masked), payment history, statements and blacklist are built (the Supplier model + /suppliers + /ap/statement); a multi-contact list, contract / document files, a time-bound suspension, and supplier evaluation / performance are backlog. Spec / status record only; no code / schema / API change.</w:t>
      </w:r>
    </w:p>
    <w:p>
      <w:pPr>
        <w:pStyle w:val="Heading1"/>
      </w:pPr>
      <w:r>
        <w:t>90.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Scope note — the Supplier Management backlog (multi-contact list, time-bound suspension, evaluation, performance) is now BUILT. Migration 20260901130000_supplier_management adds supplier_contacts and supplier_evaluations, a suspended status and suspension_reason / suspended_until; new endpoints under supplier.manage / supplier.viewAll (contacts CRUD, suspend / unsuspend, evaluations CRUD, a derived /performance). Contracts / documents as files remain backlog (object storage).</w:t>
      </w:r>
    </w:p>
    <w:p>
      <w:pPr>
        <w:pStyle w:val="Heading1"/>
      </w:pPr>
      <w:r>
        <w:t>91.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Scope note — an “Inventory Management” section is added and BUILT on top of the 28 Aug company-level Inventory section. Migration 20260901140000_inventory_management adds warehouses, stock_locations, stock_balances (per warehouse), stock_batches, stock_serials, min / max stock levels and the transfer / return / adjustment movement types; ~17 new /inventory endpoints (warehouses &amp; locations, transfers, returns, batches, serials, stock-levels, eight reports) under the existing product.manage / product.viewAll.</w:t>
      </w:r>
    </w:p>
    <w:p>
      <w:pPr>
        <w:pStyle w:val="Heading1"/>
      </w:pPr>
      <w:r>
        <w:t>92.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Scope note — a “Warehouse Management” operations layer is added and BUILT on top of the Inventory Management foundation (multiple warehouses / locations / transfers, same day). Migration 20260901150000_warehouse_management adds warehouse_staff, goods_receipts, pick_lists and stock_counts (+ their line tables) and a functional kind on stock locations; ~25 new /inventory endpoints (staff, receiving, picking / packing / dispatch, counts + reconciliation, barcode lookup) under the existing product.manage / product.viewAll. The Warehouse Manager role now holds product.manage.</w:t>
      </w:r>
    </w:p>
    <w:p>
      <w:pPr>
        <w:pStyle w:val="Heading1"/>
      </w:pPr>
      <w:r>
        <w:t>93.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Scope note — an “Asset Management” section is added and BUILT on top of the Sprint-11 Asset Service. Migration 20260902120000_asset_management adds asset_categories (with depreciation defaults), asset_inspections, asset_insurance_policies and asset_events (history), plus category_id / supplier_id / purchase_reference / warranty_expiry_date on the asset; new /assets endpoints (category CRUD, inspections, insurance, history, four reports) under the existing asset.manage / asset.viewAll / asset.approve.disposal.</w:t>
      </w:r>
    </w:p>
    <w:p>
      <w:pPr>
        <w:pStyle w:val="Heading1"/>
      </w:pPr>
      <w:r>
        <w:t>94.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Scope note — a new “Fleet &amp; Vehicle Management” module is added and BUILT. Migration 20260902130000_fleet_management adds vehicles + eight child tables (driver assignments, odometer readings, fuel logs, service schedules &amp; records, renewals, accident records, vehicle expenses); a new fleet.manage / fleet.viewAll permission; ~20 /fleet endpoints including five reports. A vehicle optionally links 1:1 to an Asset (its insurance / inspection / depreciation live there).</w:t>
      </w:r>
    </w:p>
    <w:p>
      <w:pPr>
        <w:pStyle w:val="Heading1"/>
      </w:pPr>
      <w:r>
        <w:t>95.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Scope note — sections 17-57 of the master requirements are recorded against the build. BUILT: Project, Expense, Support, Audit Trail, Inter-Company, Consolidated reporting, Multi-Branch, BI dashboards, Security core, API docs, coded workflows, Performance. PARTIAL: Contract, Investment, Shareholding, Tax, Multi-Currency, Approval config, Communication, Marketing, Search, Import/Export, Mobile, Compliance. PLANNED: Legal, Document store, Loans, Board governance, Audit Management, Backup/DR, Integrations, BPM designer, Exit/Separation. Implemented this pass: the cross-module Notifications &amp; Alerts feed (/alerts).</w:t>
      </w:r>
    </w:p>
    <w:p>
      <w:pPr>
        <w:pStyle w:val="Heading1"/>
      </w:pPr>
      <w:r>
        <w:t>96.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Scope note — the Final System Objective is recorded and its executive answer layer implemented: GET /api/v1/executive/questions and /executive/overview answer the specification's seventeen group-management questions from live data, scoped per BR-01 (Group role → whole group, subsidiary-scoped user → their companies). Read-only, no schema, no new permission. A new Executive Q&amp;A screen renders them.</w:t>
      </w:r>
    </w:p>
    <w:p>
      <w:pPr>
        <w:pStyle w:val="Heading1"/>
      </w:pPr>
      <w:r>
        <w:t>97.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Scope note — payroll payslips become visible to their owners in My HR → My Payslips as soon as the payroll run is approved, not only once it is paid; GET /api/v1/my-hr/payslips widened its run-status filter to approved-or-paid and now returns the run status and approval date. Read-only; no schema; no new permission.</w:t>
      </w:r>
    </w:p>
    <w:p>
      <w:pPr>
        <w:pStyle w:val="Heading1"/>
      </w:pPr>
      <w:r>
        <w:t>98.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Scope note — the Alerts feed (Update 83) now surfaces on the admin bell as notifications, routed by department: each alert is tagged with the department that owns it (a real column for projects, otherwise a keyword match against the company's department names), and each logged-in staff member sees their department's alerts plus company-wide ones. Group-visibility users and users with no department see the whole scope. One new nullable column; no new permission or endpoint.</w:t>
      </w:r>
    </w:p>
    <w:p>
      <w:pPr>
        <w:pStyle w:val="Heading1"/>
      </w:pPr>
      <w:r>
        <w:t>99.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Scope note — the Update 86 alert notifications are now visible on the bell: the dropdown was drawing white text on white inside the navy top bar and now sets its own dark colour. Department routing is deterministic (ordered keywords, most-specific first). No schema, endpoint or permission change.</w:t>
      </w:r>
    </w:p>
    <w:p>
      <w:pPr>
        <w:pStyle w:val="Heading1"/>
      </w:pPr>
      <w:r>
        <w:t>100. Implementation Status Update 102 (9 September 2026) — Storefront Language Set Scoped to 9 Official Languages</w:t>
      </w:r>
    </w:p>
    <w:p>
      <w:pPr>
        <w:pStyle w:val="BodyText"/>
      </w:pPr>
      <w:r>
        <w:t>An administrator asked for the Customer Storefront to be localised and globalised into a specific, named set of languages, grouped exactly as given: Uganda — Official/Global (English), Uganda — Official/Africa (Kiswahili), Uganda — Bantu (Luganda), Africa (Arabic), Europe (German, French, Spanish, Italian), and The Americas (Portuguese).</w:t>
      </w:r>
    </w:p>
    <w:p>
      <w:pPr>
        <w:pStyle w:val="BodyText"/>
      </w:pPr>
      <w:r>
        <w:t>These 9 languages were already shipped fully translated across Updates 29–31 (framework, full key catalogue, database content localisation), inside a much larger 43-language aspirational list added in Update 30 — 34 English-fallback placeholder languages plus two partially-translated regional languages (Runyankole, Acholi). mbms/storefront/src/locales/index.js's LANGUAGE_LIST and LOCALES are now scoped to exactly these 9 official languages, retiring the placeholder and partial entries; every remaining language ships a complete translation, so the picker's “English for now” caveat no longer applies to any option, and TRANSLATED_LANGS now equals FULLY_TRANSLATED_LANGS. The picker's region groups match the administrator's naming exactly.</w:t>
      </w:r>
    </w:p>
    <w:p>
      <w:pPr>
        <w:pStyle w:val="BodyText"/>
      </w:pPr>
      <w:r>
        <w:t>Database content localisation (glossary + TranslationProvider seam, Update 32), currency/figure localisation (lib/format.js's CURRENCY_BY_LANG / LOCALE_TAG, Update 33) and digit transliteration already covered exactly this 9-language set and needed no change. No backend, schema, endpoint or permission change — a front-end scope change to an existing feature. Verified end to end: vite build clean (74 modules); the language picker shows exactly 9 options across the administrator's 6 named region groups, all rendering the full storefront (not an English fallback).</w:t>
      </w:r>
    </w:p>
    <w:p>
      <w:pPr>
        <w:pStyle w:val="Heading2"/>
      </w:pPr>
      <w:r>
        <w:t>Impact on this document</w:t>
      </w:r>
    </w:p>
    <w:p>
      <w:pPr>
        <w:pStyle w:val="BodyText"/>
      </w:pPr>
      <w:r>
        <w:t>Scope note — the Customer Storefront's language offering (Updates 29–31) is now the administrator's exact 9-language set, grouped Uganda — Official/Global, Uganda — Official/Africa, Uganda — Bantu, Africa, Europe, The Americas — not an open-ended aspirational list.</w:t>
      </w:r>
    </w:p>
    <w:p>
      <w:pPr>
        <w:pStyle w:val="Heading1"/>
      </w:pPr>
      <w:r>
        <w:t>101.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Scope note — this is an administrator-facing convenience on an already-delivered feature (admin-managed social channels, Update recorded earlier): the change is additive (one single-row table, four endpoints on the existing CMS controller, existing permissions) and does not alter the project's scope, phasing, cost basis or architecture position.</w:t>
      </w:r>
    </w:p>
    <w:p>
      <w:pPr>
        <w:pStyle w:val="Heading1"/>
      </w:pPr>
      <w:r>
        <w:t>102.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w:t>
      </w:r>
    </w:p>
    <w:p>
      <w:pPr>
        <w:pStyle w:val="BodyText"/>
      </w:pPr>
      <w:r>
        <w:t>Backing this: the social_links table now has a UNIQUE constraint on platform (migration 20260902160000_social_link_platform_unique — it de-duplicates any existing rows first). Two endpoints were added under the existing cms.manage / cms.viewAll permissions (no new permission): GET /api/v1/cms/social-links/roster returns all nine platforms with any existing row merged in and a URL hint; PUT /api/v1/cms/social-links/platform/:platform creates, updates or (on an explicit empty URL) deletes that platform's single row. The free-form "add a channel" form is replaced by the roster.</w:t>
      </w:r>
    </w:p>
    <w:p>
      <w:pPr>
        <w:pStyle w:val="BodyText"/>
      </w:pPr>
      <w:r>
        <w:t>Verified end to end against the running system (roster returns all nine platforms; per-platform create / update / clear-to-delete work; POST /cms/social-links for an existing platform returns a 409). nest build, admin vite build and storefront vite build all clean; prisma migrate deploy applied; openapi.json regenerated (357 paths, 455 operations).</w:t>
      </w:r>
    </w:p>
    <w:p>
      <w:pPr>
        <w:pStyle w:val="Heading2"/>
      </w:pPr>
      <w:r>
        <w:t>Impact on this document</w:t>
      </w:r>
    </w:p>
    <w:p>
      <w:pPr>
        <w:pStyle w:val="BodyText"/>
      </w:pPr>
      <w:r>
        <w:t>Scope note — an administrator-facing refinement of an already-delivered feature (admin-managed social channels): the CMS panel now enumerates every supported platform. Additive (one UNIQUE constraint with an in-migration de-dupe, two endpoints on the existing CMS controller, existing permissions); no change to project scope, phasing, cost basis or architecture position.</w:t>
      </w:r>
    </w:p>
    <w:p>
      <w:pPr>
        <w:pStyle w:val="Heading1"/>
      </w:pPr>
      <w:r>
        <w:t>103. 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nest build, admin vite build and prisma migrate deploy all clean; openapi.json regenerated (367 paths, 467 operations).</w:t>
      </w:r>
    </w:p>
    <w:p>
      <w:pPr>
        <w:pStyle w:val="Heading2"/>
      </w:pPr>
      <w:r>
        <w:t>Impact on this document</w:t>
      </w:r>
    </w:p>
    <w:p>
      <w:pPr>
        <w:pStyle w:val="BodyText"/>
      </w:pPr>
      <w:r>
        <w:t>Scope note — an administrator-facing addition: the platform now issues and maintains a controlled staff identity credential for every active administration employee automatically. Additive (one table, one module, two HR permissions, one self-service screen); no change to project scope framing, phasing, cost basis or architecture position.</w:t>
      </w:r>
    </w:p>
    <w:p>
      <w:pPr>
        <w:pStyle w:val="Heading1"/>
      </w:pPr>
      <w:r>
        <w:t>104. 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nest build, admin vite build and prisma migrate deploy all clean; openapi.json unchanged at 367 paths / 467 operations.</w:t>
      </w:r>
    </w:p>
    <w:p>
      <w:pPr>
        <w:pStyle w:val="Heading2"/>
      </w:pPr>
      <w:r>
        <w:t>Impact on this document</w:t>
      </w:r>
    </w:p>
    <w:p>
      <w:pPr>
        <w:pStyle w:val="BodyText"/>
      </w:pPr>
      <w:r>
        <w:t>Scope note — a refinement of the Update 90 identification-card feature: the card now has a front and a back part. Additive (two nullable columns, a derived back object); no change to project scope framing, phasing, cost basis or architecture position.</w:t>
      </w:r>
    </w:p>
    <w:p>
      <w:pPr>
        <w:pStyle w:val="Heading1"/>
      </w:pPr>
      <w:r>
        <w:t>105. 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nest build, admin vite build and prisma migrate deploy all clean.</w:t>
      </w:r>
    </w:p>
    <w:p>
      <w:pPr>
        <w:pStyle w:val="Heading2"/>
      </w:pPr>
      <w:r>
        <w:t>Impact on this document</w:t>
      </w:r>
    </w:p>
    <w:p>
      <w:pPr>
        <w:pStyle w:val="BodyText"/>
      </w:pPr>
      <w:r>
        <w:t>Scope note — a small refinement of the Update 90-91 identification-card feature: the blood group section is removed from the back and the two faces are the same size. Removal only (one dropped column); no change to project scope framing, phasing, cost basis or architecture position.</w:t>
      </w:r>
    </w:p>
    <w:p>
      <w:pPr>
        <w:pStyle w:val="Heading1"/>
      </w:pPr>
      <w:r>
        <w:t>106. Implementation Status Update 93 (3 September 2026) — Morise Milling Ltd Subsidiary + Milling ERP Specification (New Doc 23)</w:t>
      </w:r>
    </w:p>
    <w:p>
      <w:pPr>
        <w:pStyle w:val="BodyText"/>
      </w:pPr>
      <w:r>
        <w:t>An administrator asked to add a new subsidiary under Morise Holdings Limited with a grain-milling concept, based on the client attachment "Software Development Features for a Milling Company".</w:t>
      </w:r>
    </w:p>
    <w:p>
      <w:pPr>
        <w:pStyle w:val="BodyText"/>
      </w:pPr>
      <w:r>
        <w:t>Morise Milling Ltd is seeded as a wholly-owned (100%) subsidiary (company id a1000000-0000-4000-8000-000000000007): six mill sites / branches (Kampala Head Office &amp; Central Mill, Jinja Wheat &amp; Maize Mill, Masindi Maize Mill, Mbale Millet &amp; Sorghum Mill, Lira Grain Mill &amp; Silos, Kampala Distribution Depot); 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IT, IoT &amp; Integrations); and six starter policies (Weighbridge Ticket Integrity, Grain Acceptance &amp; Moisture Limits, Milling Yield &amp; Loss Tolerance, Batch Traceability End to End, Preventive Maintenance Compliance, Food Safety &amp; Product Release). Only prisma/seed.ts changes — no code, schema or permission change.</w:t>
      </w:r>
    </w:p>
    <w:p>
      <w:pPr>
        <w:pStyle w:val="BodyText"/>
      </w:pPr>
      <w:r>
        <w:t>The milling-specific system is a specification, not built. New doc 23 — Milling ERP &amp; Integrated Business Management System — Feature Specification — restates the attachment in the house format: twelve feature modules from grain procurement over a weighbridge through production and milling lines, machine maintenance, QA/QC, packaging, sales, distribution, finance and workforce to a management dashboard with IoT / PLC integration and end-to-end supplier-to-customer batch traceability; plus non-functional requirements, an architecture overview, an integration table, the fifteen recommended roles, a technology-stack table, the organisation as seeded, a five-phase delivery roadmap and a section on reuse of the existing MBMS modules.</w:t>
      </w:r>
    </w:p>
    <w:p>
      <w:pPr>
        <w:pStyle w:val="BodyText"/>
      </w:pPr>
      <w:r>
        <w:t>The storefront's public site lists Morise Milling Ltd in the Companies directory (a SUBSIDIARY_META entry, a new subsidiary-milling.svg banner in the brand family mirrored into both apps, and a News item). Group figures become six subsidiaries and twenty-six sites / branches. Verified against the running system; admin and storefront builds are clean.</w:t>
      </w:r>
    </w:p>
    <w:p>
      <w:pPr>
        <w:pStyle w:val="Heading2"/>
      </w:pPr>
      <w:r>
        <w:t>Impact on this document</w:t>
      </w:r>
    </w:p>
    <w:p>
      <w:pPr>
        <w:pStyle w:val="BodyText"/>
      </w:pPr>
      <w:r>
        <w:t>Scope note — the group gains a sixth wholly-owned operating company, Morise Milling Ltd (grain milling): its organisation is seeded and live, and its ERP is a specification and a phased backlog (new doc 23). Additive (seed data + one spec doc + a storefront listing and brand banner); no change to project scope framing, phasing, cost basis or architecture position.</w:t>
      </w:r>
    </w:p>
    <w:p>
      <w:pPr>
        <w:pStyle w:val="Heading1"/>
      </w:pPr>
      <w:r>
        <w:t>107. Implementation Status Update 94 (3 September 2026) — Automatic Morise e-Stamp on a Customer-Acknowledged Delivery</w:t>
      </w:r>
    </w:p>
    <w:p>
      <w:pPr>
        <w:pStyle w:val="BodyText"/>
      </w:pPr>
      <w:r>
        <w:t>Update 66 (recorded as a specification only) is now built: after a Morise delivery is completed, the customer confirms — through the customer portal — that they received the order's goods / services in good condition, and MBMS automatically places a Morise e-Stamp on the order's invoice.</w:t>
      </w:r>
    </w:p>
    <w:p>
      <w:pPr>
        <w:pStyle w:val="BodyText"/>
      </w:pPr>
      <w:r>
        <w:t>New endpoint POST /api/v1/customer-portal/orders/:id/delivery/acknowledge (customer JWT) with condition = good | damaged | incomplete | not_received and an optional note. It is allowed only once the order's delivery is "delivered", and only once. A "good" acknowledgement, in one transaction, stamps the order's invoice — invoices.stamped_at, a unique invoices.stamp_number = MOR-ESTAMP-YYYY-NNNNNN, invoices.stamp_condition = "good" (new nullable columns, migration 20260903180000_invoice_estamp_delivery_ack) — and logs a delivery event, an invoice.estamp.issued audit entry and a best-effort staff notification. A damaged / incomplete / not-received acknowledgement issues no stamp: it sets deliveries.exception_opened_at, logs the customer's report and raises a delivery.exception_opened audit entry and a staff notification.</w:t>
      </w:r>
    </w:p>
    <w:p>
      <w:pPr>
        <w:pStyle w:val="BodyText"/>
      </w:pPr>
      <w:r>
        <w:t>The e-Stamp is shown on the customer's delivery-tracking view, the invoice list and detail, the staff DeliveryService.get, and the downloaded invoice PDF — which now draws a navy / amber Morise seal (the Morise "M" mark, "MORISE e-STAMP", the stamp number and the confirmation wording) top-right. Storefront: a "Did everything arrive in good condition?" panel on the My Orders detail (confirm receipt / report a problem) and a "Morise e-Stamp" badge on the Invoices list. Seed adds one completed delivery for a Highland Traders order awaiting confirmation.</w:t>
      </w:r>
    </w:p>
    <w:p>
      <w:pPr>
        <w:pStyle w:val="BodyText"/>
      </w:pPr>
      <w:r>
        <w:t>Verified end to end against the running system (a "good" acknowledgement issued MOR-ESTAMP-2026-000001 on the invoice and rendered the seal on the PDF; the guards and the damaged path behaved). nest build, storefront vite build and prisma migrate deploy all clean; openapi.json regenerated (368 paths / 468 operations). Supersedes the "spec only — nothing built" status of Update 66.</w:t>
      </w:r>
    </w:p>
    <w:p>
      <w:pPr>
        <w:pStyle w:val="Heading2"/>
      </w:pPr>
      <w:r>
        <w:t>Impact on this document</w:t>
      </w:r>
    </w:p>
    <w:p>
      <w:pPr>
        <w:pStyle w:val="BodyText"/>
      </w:pPr>
      <w:r>
        <w:t>Scope note — implements a previously-recorded requirement (Update 66): the order-to-cash / delivery flow gains a customer acknowledgement step and an automatic Morise e-Stamp on the invoice. Additive (one customer-portal endpoint, three nullable invoice columns + five nullable delivery columns, one migration); no new permission; no change to project scope framing, phasing, cost basis or architecture position.</w:t>
      </w:r>
    </w:p>
    <w:p>
      <w:pPr>
        <w:pStyle w:val="Heading1"/>
      </w:pPr>
      <w:r>
        <w:t>108. Implementation Status Update 95 (3 September 2026) — A Clear "Confirm Receipt" Button / Link for the Customer e-Stamp Confirmation</w:t>
      </w:r>
    </w:p>
    <w:p>
      <w:pPr>
        <w:pStyle w:val="BodyText"/>
      </w:pPr>
      <w:r>
        <w:t>Following Update 94 (the automatic Morise e-Stamp on a customer-acknowledged delivery), an administrator asked that the customer have a clear confirmation button / link — not just a panel buried in an order's detail.</w:t>
      </w:r>
    </w:p>
    <w:p>
      <w:pPr>
        <w:pStyle w:val="BodyText"/>
      </w:pPr>
      <w:r>
        <w:t>New read GET /api/v1/customer-portal/orders/awaiting-confirmation (customer JWT) returns the customer's own orders with a completed delivery they have not yet confirmed (orderId, orderNumber, deliveryNumber, deliveredAt, companyName). The dashboard summary (GET /customer-portal/dashboard-summary) gains deliveriesToConfirm and firstDeliveryToConfirmOrderId. No schema change, no new permission.</w:t>
      </w:r>
    </w:p>
    <w:p>
      <w:pPr>
        <w:pStyle w:val="BodyText"/>
      </w:pPr>
      <w:r>
        <w:t>Storefront: a dedicated confirmation page at /orders/:id/confirm — a shareable URL that shows the order and delivery summary and a prominent "Confirm — received in good condition" button plus a "Report a problem" form; on a good confirmation it shows the Morise e-Stamp number and a "Download stamped invoice" link, on a problem the exception notice. The My Orders list marks each order awaiting confirmation with a "Confirm receipt →" link to that page, and the Home dashboard shows a prompt card ("You have N deliveries awaiting your confirmation" + "Confirm now").</w:t>
      </w:r>
    </w:p>
    <w:p>
      <w:pPr>
        <w:pStyle w:val="BodyText"/>
      </w:pPr>
      <w:r>
        <w:t>The Update 94 acknowledge endpoint, the automatic e-Stamp and the in-detail panel are unchanged. Verified end to end against the running system; nest build and storefront vite build clean; openapi.json regenerated (369 paths / 469 operations).</w:t>
      </w:r>
    </w:p>
    <w:p>
      <w:pPr>
        <w:pStyle w:val="Heading2"/>
      </w:pPr>
      <w:r>
        <w:t>Impact on this document</w:t>
      </w:r>
    </w:p>
    <w:p>
      <w:pPr>
        <w:pStyle w:val="BodyText"/>
      </w:pPr>
      <w:r>
        <w:t>Scope note — a usability follow-up to Update 94: the customer confirmation that triggers the Morise e-Stamp is now a first-class call to action (a Home prompt, an order-row link and a dedicated confirmation page). Additive (one read endpoint + two dashboard-summary fields); no schema or permission change; no change to project scope framing, phasing, cost basis or architecture position.</w:t>
      </w:r>
    </w:p>
    <w:p>
      <w:pPr>
        <w:pStyle w:val="Heading1"/>
      </w:pPr>
      <w:r>
        <w:t>109. Implementation Status Update 96 (3 September 2026) — Confirm-Receipt Button Driven by the Order's Delivered Status</w:t>
      </w:r>
    </w:p>
    <w:p>
      <w:pPr>
        <w:pStyle w:val="BodyText"/>
      </w:pPr>
      <w:r>
        <w:t>An administrator asked that the customer's "Confirm receipt" button be driven by the order's status: once admin staff mark the order delivered, the button appears in My Orders, and the customer clicks it to attest the goods / services arrived in good condition — which is what generates the automatic Morise e-Stamp. A Morise Logistics delivery record is no longer required.</w:t>
      </w:r>
    </w:p>
    <w:p>
      <w:pPr>
        <w:pStyle w:val="BodyText"/>
      </w:pPr>
      <w:r>
        <w:t>The Order gains delivered_at (stamped when an administrator advances the order to "delivered", or a Morise Logistics delivery completes) and customer_receipt_confirmed_at / customer_receipt_condition / customer_receipt_note (migration 20260903200000_order_customer_receipt, which back-fills delivered_at for orders already delivered). GET /api/v1/customer-portal/orders and .../:id now return deliveredAt, the receipt fields and canConfirmReceipt (order.status = "delivered" and not yet confirmed), plus eStamped / stampNumber on the invoice sub-object.</w:t>
      </w:r>
    </w:p>
    <w:p>
      <w:pPr>
        <w:pStyle w:val="BodyText"/>
      </w:pPr>
      <w:r>
        <w:t>POST /api/v1/customer-portal/orders/:id/delivery/acknowledge is now order-driven: allowed once the order is "delivered" and only once, regardless of whether a delivery record exists. A "good" confirmation records the receipt on the order and auto-stamps the order's invoice (MOR-ESTAMP-YYYY-NNNNNN); any other condition records a dispute (no stamp). When a Morise Logistics delivery record exists, the confirmation is mirrored onto it. Audited as invoice.estamp.issued (good) or order.receipt.disputed (else) with a best-effort staff notification. awaiting-confirmation and the dashboard summary's deliveriesToConfirm now count delivered, unconfirmed orders.</w:t>
      </w:r>
    </w:p>
    <w:p>
      <w:pPr>
        <w:pStyle w:val="BodyText"/>
      </w:pPr>
      <w:r>
        <w:t>Storefront: the My Orders detail panel, the /orders/:id/confirm page and the "Confirm receipt →" row link are all driven by the order's delivered status and no longer need a delivery record. Verified end to end against the running system; nest build, storefront vite build and prisma migrate deploy all clean; openapi.json unchanged at 369 paths / 469 operations.</w:t>
      </w:r>
    </w:p>
    <w:p>
      <w:pPr>
        <w:pStyle w:val="Heading2"/>
      </w:pPr>
      <w:r>
        <w:t>Impact on this document</w:t>
      </w:r>
    </w:p>
    <w:p>
      <w:pPr>
        <w:pStyle w:val="BodyText"/>
      </w:pPr>
      <w:r>
        <w:t>Scope note — refinement of Updates 94-95: the customer confirmation that generates the Morise e-Stamp is now tied to the order's delivered status set by admin staff, and works for any delivered order. Additive (four nullable Order columns, one migration); no new endpoint or permission; no change to project scope framing, phasing, cost basis or architecture position.</w:t>
      </w:r>
    </w:p>
    <w:p>
      <w:pPr>
        <w:pStyle w:val="Heading1"/>
      </w:pPr>
      <w:r>
        <w:t>110. Implementation Status Update 97 (3 September 2026) — Social Media Publishing — Composer, Publishing Engine &amp; Status Dashboard (New Doc 24)</w:t>
      </w:r>
    </w:p>
    <w:p>
      <w:pPr>
        <w:pStyle w:val="BodyText"/>
      </w:pPr>
      <w:r>
        <w:t>An administrator asked for a mini Buffer / Hootsuite inside MBMS: write one master post, fan it out to many social media channels in one click with per-platform caption overrides, publish now or schedule, and see per-platform success / failure. The architecture plan the administrator supplied is restated in the house format in the new doc 24.</w:t>
      </w:r>
    </w:p>
    <w:p>
      <w:pPr>
        <w:pStyle w:val="BodyText"/>
      </w:pPr>
      <w:r>
        <w:t>A new module (src/social-publishing) exposes /api/v1/social. Schema (migration 20260903220000_social_publishing): social_connections (a simulated OAuth connection per platform — status, account label, a ~60-day token expiry, a placeholder token reference; no real handshake), social_posts (master body, media type + text-reference url, link, status, scheduledFor) and social_post_targets (one row per platform per post — caption override, status, external id + permalink, error, attempts). Three new governance-domain permissions: social.post.manage, social.post.publish and social.post.viewAll — the "can create drafts vs can publish" split.</w:t>
      </w:r>
    </w:p>
    <w:p>
      <w:pPr>
        <w:pStyle w:val="BodyText"/>
      </w:pPr>
      <w:r>
        <w:t>Endpoints: GET /social/platforms; POST /social/platforms/:platform/{connect,disconnect}; GET / POST /social/posts, GET / PATCH / DELETE /social/posts/:id (get returns a per-platform preview); POST /social/posts/:id/publish (the single button), POST /social/posts/:id/retry, POST /social/run-scheduled; GET /social/dashboard. Every mutation is audited.</w:t>
      </w:r>
    </w:p>
    <w:p>
      <w:pPr>
        <w:pStyle w:val="BodyText"/>
      </w:pPr>
      <w:r>
        <w:t>The publish itself is SIMULATED — no OAuth handshake, platform API call or job queue exists in this build (the same deferred external integration recorded for Kafka, object storage and email / SMS); the connection / post / target / partial-failure / retry / dashboard shape is real. Admin gains a Social Publishing screen under ADMIN / BACKEND (four tabs). Verified end to end against the running system; nest build, admin vite build and prisma migrate deploy all clean; openapi.json regenerated (378 paths / 481 operations).</w:t>
      </w:r>
    </w:p>
    <w:p>
      <w:pPr>
        <w:pStyle w:val="Heading2"/>
      </w:pPr>
      <w:r>
        <w:t>Impact on this document</w:t>
      </w:r>
    </w:p>
    <w:p>
      <w:pPr>
        <w:pStyle w:val="BodyText"/>
      </w:pPr>
      <w:r>
        <w:t>Scope note — a new core feature area (group social media publishing) and a new specification document (doc 24). Additive (one module, three tables, three governance permissions, one admin screen); the live platform integration is a documented deferral; no change to project scope framing, phasing, cost basis or architecture position.</w:t>
      </w:r>
    </w:p>
    <w:p>
      <w:pPr>
        <w:pStyle w:val="Heading1"/>
      </w:pPr>
      <w:r>
        <w:t>111. Implementation Status Update 98 (8 September 2026) — Product Catalogue for Morise Milling Ltd + Branch-Tagged Product Registration (Doc 23)</w:t>
      </w:r>
    </w:p>
    <w:p>
      <w:pPr>
        <w:pStyle w:val="BodyText"/>
      </w:pPr>
      <w:r>
        <w:t>An administrator asked to add products to Morise Milling Ltd. Morise Milling Ltd was seeded as the group's sixth wholly-owned subsidiary in Update 93 (3 September 2026) with six mill sites and twelve departments but zero products — it was spec-stage only. This update gives it its first product catalogue and, at the same time, generalises product registration in the Admin app so any multi-site subsidiary's products can be tagged to the branch/site that produces them, not just company-wide.</w:t>
      </w:r>
    </w:p>
    <w:p>
      <w:pPr>
        <w:pStyle w:val="BodyText"/>
      </w:pPr>
      <w:r>
        <w:t>prisma/seed.ts gains a Morise Milling Ltd product-catalogue block (ensureMillProduct helper, 7 new categories): 24 SKUs — 15 priced finished goods and services (maize, wheat, and millet/sorghum flour lines across 4 pack sizes; maize bran, wheat bran/pollard, maize germ and a compounded dairy meal as by-products; toll milling, grain cleaning/drying, silo storage and grain grading/moisture testing as services) plus 4 internal-only items (raw maize/wheat/millet grain intake, printed bag and retail-pack packaging) that are seeded with no unitPrice on purpose — CustomerCatalogService only lists priced products, so raw materials and packaging stay off the customer storefront while Admin Inventory still tracks them. Batch tracking (trackBatches) and min/max stock levels are set per docx/23 section 2.2 (raw-material / finished-goods / packaging warehouses, FIFO-FEFO, min-max levels) and sections 2.5-2.6 (batch numbers, expiry / best-before, end-to-end batch traceability). Each item is attributed to the mill or depot that produces or holds it.</w:t>
      </w:r>
    </w:p>
    <w:p>
      <w:pPr>
        <w:pStyle w:val="BodyText"/>
      </w:pPr>
      <w:r>
        <w:t>Product.branchId already existed on the schema (29 August 2026, storefront group catalogue), but only the seed could set it — a product registered through the Admin screen was always company-wide. CreateProductDto and UpdateProductDto both gain an optional branchId; ProductsService.assertReferencesBelongTo validates on create and update that both the category and the branch belong to the product's own companyId, and every product read now returns companyName and branchName.</w:t>
      </w:r>
    </w:p>
    <w:p>
      <w:pPr>
        <w:pStyle w:val="BodyText"/>
      </w:pPr>
      <w:r>
        <w:t>The Admin Products screen is rebuilt on top of this: a subsidiary filter above the list, Company / Branch / Category / Stock columns and a per-row Edit action added to the table, and the New Product form replaced with Company and Branch dropdowns (previously a bare company-UUID text field). A new Edit Product modal exposes the PATCH /products/:id endpoint (it has existed since Sprint 4 with no screen). Verified end to end: reseeded and confirmed all 24 Morise Milling Ltd rows in Postgres with correct branch attribution; nest build clean; openapi.json regenerated (378 paths / 481 operations / 188 schemas — unchanged, no new path). The group catalogue is now 58 products across 25 categories (53 storefront-priced, 5 internal-only), and all six operating subsidiaries sell at least one product or service.</w:t>
      </w:r>
    </w:p>
    <w:p>
      <w:pPr>
        <w:pStyle w:val="Heading2"/>
      </w:pPr>
      <w:r>
        <w:t>Impact on this document</w:t>
      </w:r>
    </w:p>
    <w:p>
      <w:pPr>
        <w:pStyle w:val="BodyText"/>
      </w:pPr>
      <w:r>
        <w:t>Scope note — Morise Milling Ltd moves from a specification-only subsidiary to a selling one, and product registration is generalised to be branch-aware everywhere, not just in seed data. Additive (one seed block, two DTO fields, one service method, one screen rebuild); no change to project scope framing, phasing, cost basis or architecture position.</w:t>
      </w:r>
    </w:p>
    <w:p>
      <w:pPr>
        <w:pStyle w:val="Heading1"/>
      </w:pPr>
      <w:r>
        <w:t>112. Implementation Status Update 99 (9 September 2026) — Morise Research &amp; Consultancy Ltd — Seventh Subsidiary + RC-MIS Specification (New Doc 25)</w:t>
      </w:r>
    </w:p>
    <w:p>
      <w:pPr>
        <w:pStyle w:val="BodyText"/>
      </w:pPr>
      <w:r>
        <w:t>An administrator asked to add a subsidiary for research and other types of consultancy, based on the client attachment docx/Research_and_Consultancy_Software_Development_Features.docx. Morise Research &amp; Consultancy Ltd is seeded as the group's seventh wholly-owned (100%) subsidiary (company id a1000000-0000-4000-8000-000000000008), registered at Plot 7, Acacia Avenue, Kololo, Kampala, currency UGX, financial year starting 1 January 2026 — created and managed by the Managing Director under the existing subsidiary-lifecycle capability (Update 34), the same way as every prior subsidiary.</w:t>
      </w:r>
    </w:p>
    <w:p>
      <w:pPr>
        <w:pStyle w:val="BodyText"/>
      </w:pPr>
      <w:r>
        <w:t>Five sites/branches (ids b1...0050-0054): Kampala Head Office, and four regional field offices — Gulu (Northern), Mbale (Eastern), Mbarara (Western) and a Karamoja Field Station (Moroto) — reflecting the client attachment's emphasis on geographic coverage and target-population reach for fieldwork. Twelve departments (ids d1...0080-0091) condense the client's fourteen-node RC-MIS architecture into standing organisational units: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 Six starter policies (ids p1...0050-0055): Research Ethics &amp; Informed Consent, Data Protection &amp; Participant Confidentiality, Fieldwork Safety &amp; Security, Data Quality Assurance, Consultant &amp; Enumerator Conflict of Interest, and Contract, Grant &amp; Proposal Compliance.</w:t>
      </w:r>
    </w:p>
    <w:p>
      <w:pPr>
        <w:pStyle w:val="BodyText"/>
      </w:pPr>
      <w:r>
        <w:t>Like every subsidiary before its first feature build, only the organisation is seeded — seed.ts only, no code, schema or permission change. The subsidiary is not a storefront seller (0 products); a research and consultancy firm is billed on contracts, retainers and timesheets, not a priced catalogue. The RC-MIS itself (fourteen modules) is a specification, not built: new docx/25 restates the client attachment in the house documentation format used for docs 19-24, covering the fourteen modules, non-functional requirements, architecture, key integration points, user roles, suggested technology stack, the organisation as built, a five-phase delivery roadmap, and how it would relate to and reuse the existing MBMS platform.</w:t>
      </w:r>
    </w:p>
    <w:p>
      <w:pPr>
        <w:pStyle w:val="BodyText"/>
      </w:pPr>
      <w:r>
        <w:t>The storefront's corporate site picks up the new subsidiary automatically from GET /customer-portal/public/overview (group now 7 subsidiaries, 31 sites/branches); corporate.js gains a SUBSIDIARY_META entry, a SUBSIDIARY_BANNER entry and a News item for it. A new brand/banners/subsidiary-research-consultancy.svg (indigo accent; bar-chart-and-magnifying-glass motif) is mirrored into both apps' public/brand/banners/ and added to brand/README.md's banner table. Verified end to end against the running system: the new company, its 5 branches, 12 departments and 6 policies confirmed in Postgres and via the authenticated Admin organisation API; the public overview endpoint lists it with its branch count; both banner assets resolve on the Admin app and the Customer Storefront. No new endpoint, migration or permission; openapi.json unchanged.</w:t>
      </w:r>
    </w:p>
    <w:p>
      <w:pPr>
        <w:pStyle w:val="Heading2"/>
      </w:pPr>
      <w:r>
        <w:t>Impact on this document</w:t>
      </w:r>
    </w:p>
    <w:p>
      <w:pPr>
        <w:pStyle w:val="BodyText"/>
      </w:pPr>
      <w:r>
        <w:t>Scope note — the group's seventh subsidiary and first in the research/consultancy sector, added the same low-footprint way as every prior spec-stage subsidiary (organisation seeded, feature system documented as a specification). Additive only; no change to project scope framing, phasing, cost basis or architecture position.</w:t>
      </w:r>
    </w:p>
    <w:p>
      <w:pPr>
        <w:pStyle w:val="Heading1"/>
      </w:pPr>
      <w:r>
        <w:t>113. Implementation Status Update 100 (9 September 2026) — Services Catalogue for Morise Research &amp; Consultancy Ltd (Doc 25)</w:t>
      </w:r>
    </w:p>
    <w:p>
      <w:pPr>
        <w:pStyle w:val="BodyText"/>
      </w:pPr>
      <w:r>
        <w:t>An administrator asked to add products to Morise Research &amp; Consultancy Ltd. Morise Research &amp; Consultancy Ltd was seeded as the group's seventh subsidiary in Update 99 (9 September 2026) with five field offices and twelve departments but zero products — spec-stage only, on the reasoning that a consultancy is billed on contracts and timesheets. Like Morise Collateral Management Ltd (Update 60), which is also billed on contracts and retainers, the subsidiary can still carry a priced services catalogue representing its standard, quotable engagements; this update seeds that first catalogue.</w:t>
      </w:r>
    </w:p>
    <w:p>
      <w:pPr>
        <w:pStyle w:val="BodyText"/>
      </w:pPr>
      <w:r>
        <w:t>prisma/seed.ts gains a Morise Research &amp; Consultancy Ltd services block (reusing the ensureService() helper already used for the Collateral Management catalogue): 23 services (RC-7001 through RC-7051) across 6 new categories — Research &amp; Evaluation Studies, Field Data Collection, Data Management &amp; Analysis, Monitoring &amp; Evaluation Services, Technical &amp; Policy Consultancy, and Training &amp; Capacity Building. Every line is productType 'service', priced in UGX per the standard unit a client's statement of work would quote against, and every line carries a unitPrice, so the whole catalogue is storefront-visible (unlike Morise Milling Ltd's internal raw-material items).</w:t>
      </w:r>
    </w:p>
    <w:p>
      <w:pPr>
        <w:pStyle w:val="BodyText"/>
      </w:pPr>
      <w:r>
        <w:t>Each service is attributed to the office best placed to deliver it: study design, analysis, policy advisory and the day-rate line sit at the Kampala Head Office; fieldwork-heavy lines are spread across the Gulu, Mbale, Mbarara and Karamoja field offices. No schema, code or permission change — seed.ts only, reusing the existing ensureService()/ensureCategory() helpers exactly as every prior services catalogue did.</w:t>
      </w:r>
    </w:p>
    <w:p>
      <w:pPr>
        <w:pStyle w:val="BodyText"/>
      </w:pPr>
      <w:r>
        <w:t>Verified end to end against the running system: reseeded, all 23 rows confirmed in Postgres with correct branch and category attribution; the Admin Products screen, filtered to Morise Research &amp; Consultancy Ltd, lists all 23 services with correct company/branch/category/price/stock columns (screenshot-verified, no console errors); nest build clean; openapi.json regenerated byte-identical (378 paths / 481 operations / 188 schemas). Group catalogue now 81 products across 31 categories (76 storefront-priced, 5 internal-only); all seven operating subsidiaries now sell at least one product or service.</w:t>
      </w:r>
    </w:p>
    <w:p>
      <w:pPr>
        <w:pStyle w:val="Heading2"/>
      </w:pPr>
      <w:r>
        <w:t>Impact on this document</w:t>
      </w:r>
    </w:p>
    <w:p>
      <w:pPr>
        <w:pStyle w:val="BodyText"/>
      </w:pPr>
      <w:r>
        <w:t>Scope note — the group's seventh subsidiary moves from a specification-only presence to a selling one, the same way Milling and Collateral Management did before it. Additive only (one seed block reusing existing helpers); no change to project scope framing, phasing, cost basis or architecture position.</w:t>
      </w:r>
    </w:p>
    <w:p>
      <w:pPr>
        <w:pStyle w:val="Heading1"/>
      </w:pPr>
      <w:r>
        <w:t>114. Implementation Status Update 101 (9 September 2026) — Dockerized Backend, Admin App and Customer Storefront</w:t>
      </w:r>
    </w:p>
    <w:p>
      <w:pPr>
        <w:pStyle w:val="BodyText"/>
      </w:pPr>
      <w:r>
        <w:t>An administrator asked to dockerize the backend, the Admin app and the Customer Storefront. Until now only Postgres and Redis ran as containers (mbms/docker-compose.yml); the three application services ran natively. This update adds a Dockerfile for each of the three, wires them into docker-compose.yml alongside Postgres and Redis, and verifies the whole stack end to end.</w:t>
      </w:r>
    </w:p>
    <w:p>
      <w:pPr>
        <w:pStyle w:val="BodyText"/>
      </w:pPr>
      <w:r>
        <w:t>backend/Dockerfile is a two-stage build on node:20-bookworm-slim (deliberately not Alpine) for both stages: npm ci, prisma generate, then npm run build — which runs nest build, not a bare tsc, so the @nestjs/swagger CLI plugin still populates the OpenAPI document's schemas exactly as it does outside Docker. The runtime stage copies over only the compiled dist/, the already-generated Prisma Client, and production node_modules, then runs node dist/main.js. Both stages install openssl and ca-certificates explicitly — Prisma's own documented fix for a libssl-detection warning on the bare -slim image. Using the same glibc-based Debian image for both stages avoids the well-known "Query Engine could not be found" failure that mixing an Alpine build with a glibc runtime can cause.</w:t>
      </w:r>
    </w:p>
    <w:p>
      <w:pPr>
        <w:pStyle w:val="BodyText"/>
      </w:pPr>
      <w:r>
        <w:t>frontend/Dockerfile and storefront/Dockerfile follow a matching two-stage pattern on node:20-alpine (build) and nginx:1.27-alpine (runtime): npm run build produces a static Vite bundle, and a bundled nginx.conf reverse-proxies /api/* to the backend container by its Compose service name — the same relationship vite.config.js's dev-server proxy gives each app locally, so no code change and no CORS configuration are needed either way.</w:t>
      </w:r>
    </w:p>
    <w:p>
      <w:pPr>
        <w:pStyle w:val="BodyText"/>
      </w:pPr>
      <w:r>
        <w:t>docker-compose.yml gains backend, frontend and storefront services: backend waits on a new Postgres healthcheck before starting and gets its DATABASE_URL/PORT overridden to the in-network Postgres host; frontend and storefront are exposed on the same host ports their Vite dev servers already used (5173 / 5174). Migrations and seeding are still run from the host, unchanged from before the backend itself was containerized.</w:t>
      </w:r>
    </w:p>
    <w:p>
      <w:pPr>
        <w:pStyle w:val="BodyText"/>
      </w:pPr>
      <w:r>
        <w:t>Verified end to end: all three images build clean; docker compose up -d --build brings up all five containers healthy; existing seeded data survived a Postgres container recreate (lives in the mbms_pg_data named volume); a staff login and a storefront page load both succeeded through the nginx-to-backend proxy with zero console errors. No schema, endpoint or permission change; openapi.json unchanged.</w:t>
      </w:r>
    </w:p>
    <w:p>
      <w:pPr>
        <w:pStyle w:val="Heading2"/>
      </w:pPr>
      <w:r>
        <w:t>Impact on this document</w:t>
      </w:r>
    </w:p>
    <w:p>
      <w:pPr>
        <w:pStyle w:val="BodyText"/>
      </w:pPr>
      <w:r>
        <w:t>Scope note — a deployment-mechanics change (containerizing three already-working services), not a new feature. Additive only; no change to project scope framing, phasing, cost basis or architecture position.</w:t>
      </w:r>
    </w:p>
    <w:p>
      <w:pPr>
        <w:pStyle w:val="Heading1"/>
      </w:pPr>
      <w:r>
        <w:t>115. Implementation Status Update 103 (9 September 2026) — Every Non-English Official Language Reaches 100% Key Parity</w:t>
      </w:r>
    </w:p>
    <w:p>
      <w:pPr>
        <w:pStyle w:val="BodyText"/>
      </w:pPr>
      <w:r>
        <w:t>An administrator clarified Update 102's scope: every word on the Customer Storefront — apart from proper nouns such as “Morise Holdings” and a subsidiary's own name — must change with the chosen language, for all 9 official languages.</w:t>
      </w:r>
    </w:p>
    <w:p>
      <w:pPr>
        <w:pStyle w:val="BodyText"/>
      </w:pPr>
      <w:r>
        <w:t>Auditing mbms/storefront/src/locales/en.js (the 528-key complete catalogue) against each translated table found the same 66 keys missing from every one of the 8 non-English languages (fr/es/pt/de/it in eu.js; sw/lg/ar in regional.js) — 462/528 = 87.5% coverage across the board. The gap was entirely features added after the original translation passes and never backfilled: the group-storefront / subsidiary-directory keys (Update 48) and the delivery-confirmation / Morise e-Stamp keys (Updates 94-96) existed only in English.</w:t>
      </w:r>
    </w:p>
    <w:p>
      <w:pPr>
        <w:pStyle w:val="BodyText"/>
      </w:pPr>
      <w:r>
        <w:t>All 66 keys are now translated into all 8 languages (528 new key/value pairs total), reusing the terminology each language already established elsewhere in the catalogue (e.g. French succursale / German Filiale for “branch” vs. French filiale / German Tochtergesellschaft for “subsidiary”, matching the existing corp.whollyOwned wording; Swahili Kampuni / Luganda Kkampuni / Arabic الشركة for “company”, matching account.companyName). “Morise e-Stamp” and company/subsidiary proper nouns are kept untranslated. Every language now carries 528/528 keys — 100% parity with English.</w:t>
      </w:r>
    </w:p>
    <w:p>
      <w:pPr>
        <w:pStyle w:val="BodyText"/>
      </w:pPr>
      <w:r>
        <w:t>A source scan for hard-coded JSX text bypassing the t() catalogue (capitalised text nodes and placeholder/aria-label/title/alt attributes across src/pages and src/components) found nothing outstanding beyond the “MORISE” wordmark in the corporate header logo and one example person-name placeholder — both proper nouns, exempt by the administrator's own instruction. No backend, schema, endpoint or permission change — a locale-data-only change. Verified end to end: vite build clean (74 modules); the dockerized storefront container was rebuilt and redeployed, and the live built bundle was checked directly (curl against the built assets/index-*.js) to confirm the new strings actually ship.</w:t>
      </w:r>
    </w:p>
    <w:p>
      <w:pPr>
        <w:pStyle w:val="Heading2"/>
      </w:pPr>
      <w:r>
        <w:t>Impact on this document</w:t>
      </w:r>
    </w:p>
    <w:p>
      <w:pPr>
        <w:pStyle w:val="BodyText"/>
      </w:pPr>
      <w:r>
        <w:t>Scope note — the Customer Storefront's 9 official languages (Update 102) now reach 100% key parity with English (528/528 keys) — every word changes with the chosen language except proper nouns.</w:t>
      </w:r>
    </w:p>
    <w:p>
      <w:pPr>
        <w:pStyle w:val="Heading1"/>
      </w:pPr>
      <w:r>
        <w:t>116. Implementation Status Update 104 (9 September 2026) — Admin App and Customer Storefront Connected to Netlify</w:t>
      </w:r>
    </w:p>
    <w:p>
      <w:pPr>
        <w:pStyle w:val="BodyText"/>
      </w:pPr>
      <w:r>
        <w:t>An administrator asked to connect the project to Netlify. Netlify hosts static sites and serverless functions only — it cannot run the stateful NestJS backend (+ Postgres/Redis) that both front-end apps depend on for every API call, so this connects the two static, front-end-only apps; the backend stays wherever it is already reachable (locally / Docker for now). This is an explicit, agreed trade-off ("wire up Netlify now, backend later") — both deployed apps' /api/v1/* calls fail until the backend has a public URL.</w:t>
      </w:r>
    </w:p>
    <w:p>
      <w:pPr>
        <w:pStyle w:val="BodyText"/>
      </w:pPr>
      <w:r>
        <w:t>Two Netlify sites were created via the Netlify CLI (obekegodfrey3@gmail.com account, team obekegodfrey3's team), each linked to its own subdirectory of this monorepo: morise-storefront (https://morise-storefront.netlify.app) to mbms/storefront; morise-admin (https://morise-admin.netlify.app) to mbms/frontend. A new netlify.toml in each app directory sets the build command (npm run build), the publish directory (dist), a SPA catch-all redirect so react-router-dom's client-side routes survive a hard refresh or direct link (verified: a deep route on each site returns 200, not a Netlify 404), and a commented-out /api/* proxy redirect to the backend, ready to uncomment once it has a public URL — positioned above the catch-all, since Netlify evaluates [[redirects]] blocks in file order.</w:t>
      </w:r>
    </w:p>
    <w:p>
      <w:pPr>
        <w:pStyle w:val="BodyText"/>
      </w:pPr>
      <w:r>
        <w:t>No application code changed: both apps already call the backend at relative /api/v1/* paths (src/lib/api.js), the same paths each app's Dockerfile nginx.conf already reverse-proxies locally, so the Netlify redirect is the natural production equivalent once a backend URL exists. Each site was built and given an initial manual production deploy (netlify deploy --prod --dir=dist), verified live with curl (root and a deep route on each site, both 200).</w:t>
      </w:r>
    </w:p>
    <w:p>
      <w:pPr>
        <w:pStyle w:val="BodyText"/>
      </w:pPr>
      <w:r>
        <w:t>Continuous deployment from GitHub pushes was deliberately not set up — linking a Netlify site to a Git repository for auto-deploys requires installing the Netlify GitHub App, a one-time authorisation only the repository owner can grant by clicking through Netlify's UI (Site configuration -&gt; Build &amp; deploy -&gt; Continuous deployment, connect obekegodfreyvicent/moriseholdings, set Base directory to mbms/storefront or mbms/frontend respectively). .gitignore gained a .netlify entry (auto-added by netlify link, which writes a machine-local linked-site-ID file correctly kept out of git). No backend, schema, endpoint or permission change.</w:t>
      </w:r>
    </w:p>
    <w:p>
      <w:pPr>
        <w:pStyle w:val="Heading2"/>
      </w:pPr>
      <w:r>
        <w:t>Impact on this document</w:t>
      </w:r>
    </w:p>
    <w:p>
      <w:pPr>
        <w:pStyle w:val="BodyText"/>
      </w:pPr>
      <w:r>
        <w:t>Scope note — the Admin app and Customer Storefront now each have a live, publicly reachable URL on Netlify, independent of the local/Docker environment — a deployment-mechanics change, not a new feature.</w:t>
      </w:r>
    </w:p>
    <w:p>
      <w:pPr>
        <w:pStyle w:val="Heading1"/>
      </w:pPr>
      <w:r>
        <w:t>117. Implementation Status Update 105 (9 September 2026) — Promo Banner Wordings Now Change With the Storefront Language</w:t>
      </w:r>
    </w:p>
    <w:p>
      <w:pPr>
        <w:pStyle w:val="BodyText"/>
      </w:pPr>
      <w:r>
        <w:t>An administrator asked that banner wordings on the Customer Storefront also change for the customer's chosen language, across all 9 official languages (Update 102).</w:t>
      </w:r>
    </w:p>
    <w:p>
      <w:pPr>
        <w:pStyle w:val="BodyText"/>
      </w:pPr>
      <w:r>
        <w:t>Banners are admin-authored database content (PromoBanner rows), not UI catalogue strings - they translate through the backend content-glossary seam (ContentTranslationService.toLocale, added Update 39), an exact-phrase dictionary in mbms/backend/src/common/translation/content-glossary.ts, separate from the storefront's own 528-key t() catalogue (Updates 102/103). Only 1 of the 3 seeded promo banners (Morise Agro Ltd's home-page rail: "Season stock-up...") had its heading/body/link label in the glossary; the other two ("One storefront for the whole group" / "Explore the group" and "Bulk fuel and haulage, booked online" / "Book a delivery") were never added when the banner content itself was written (Update 39) - a toLocale() exact-match miss falls through to a word-token partial translation (e.g. "Bulk" -&gt; "En vrac" in French) rather than the full phrase, and for a banner with no matching tokens at all ("One storefront..."), stayed in raw English in every language.</w:t>
      </w:r>
    </w:p>
    <w:p>
      <w:pPr>
        <w:pStyle w:val="BodyText"/>
      </w:pPr>
      <w:r>
        <w:t>All 6 missing glossary entries (2 banners x heading/body/link label) are now added, in all 8 non-English languages, reusing established vocabulary (Fuel / Freight Services already in the glossary from the clearing/forwarding categories).</w:t>
      </w:r>
    </w:p>
    <w:p>
      <w:pPr>
        <w:pStyle w:val="BodyText"/>
      </w:pPr>
      <w:r>
        <w:t>Verified end to end against the running system (rebuilt and restarted the backend Docker container first - the glossary is backend-only code, so the storefront needed no rebuild): logged in as the demo customer, called GET /customer-portal/promo-banners with Accept-Language: en/sw/lg/fr/es/pt/de/it/ar - all 3 banners' heading, body and link label now render fully in the chosen language for all 9, confirmed by inspecting each response directly. No schema, endpoint, permission or storefront-code change - one backend content file.</w:t>
      </w:r>
    </w:p>
    <w:p>
      <w:pPr>
        <w:pStyle w:val="Heading2"/>
      </w:pPr>
      <w:r>
        <w:t>Impact on this document</w:t>
      </w:r>
    </w:p>
    <w:p>
      <w:pPr>
        <w:pStyle w:val="BodyText"/>
      </w:pPr>
      <w:r>
        <w:t>Scope note — the storefront's promo banners (admin-authored marketing content) now render fully in all 9 official languages, closing a gap left since the banners were first written (Update 39).</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Proposal</dc:title>
</cp:coreProperties>
</file>

<file path=docProps/custom.xml><?xml version="1.0" encoding="utf-8"?>
<Properties xmlns="http://schemas.openxmlformats.org/officeDocument/2006/custom-properties" xmlns:vt="http://schemas.openxmlformats.org/officeDocument/2006/docPropsVTypes"/>
</file>