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Design - a customer-portal endpoint delegating to DeliveryService.acknowledgeByCustomer, which in one transaction records the acknowledgement, stamps the order's invoice (MOR-ESTAMP-YYYY-NNNNNN) or opens an exception, then audits and notifies; the invoice PDF gains an optional seal.</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Design - a new customer-portal read (DeliveryService.listAwaitingConfirmationForCustomer) fed into the dashboard summary; a new storefront route /orders/:id/confirm; the acknowledge action is unchanged.</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Design - customer receipt fields move onto Order (delivered_at + customer_receipt_*); advanceStatus and the delivery-completion path stamp delivered_at; acknowledgeByCustomer is order-driven and mirrors onto a delivery record when one exists.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Design - a new module (src/social-publishing): a connection per platform, a post, one target row per platform, a fan-out publishPost() that calls dispatchOne() per target (simulated - a real per-platform API call replaces its body), a runScheduled() stand-in for the cron worker, and a dashboard aggregate. In the approved architecture publishPost() enqueues a BullMQ job per target.</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Design - the Admin Products screen gains a subsidiary filter, Company/Branch dropdown pickers (replacing a pasted company UUID), Branch/Stock columns, and an Edit Product modal alongside the existing New Product modal.</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Design - a new brand banner (indigo accent, bar-chart-and-magnifying-glass motif) extends the per-subsidiary banner set to seven; no other design change.</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Design - no design change: the same Admin Products screen and rate-card presentation used for every other services catalogue.</w:t>
      </w:r>
    </w:p>
    <w:p>
      <w:pPr>
        <w:pStyle w:val="Heading1"/>
      </w:pPr>
      <w:r>
        <w:t>116.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Design - no application design change: the same screens, same API contract, delivered through a different runtime packaging.</w:t>
      </w:r>
    </w:p>
    <w:p>
      <w:pPr>
        <w:pStyle w:val="Heading1"/>
      </w:pPr>
      <w:r>
        <w:t>117.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Design — no new component or service — a data-only change to LANGUAGE_LIST / LOCALES inside the existing i18n context.</w:t>
      </w:r>
    </w:p>
    <w:p>
      <w:pPr>
        <w:pStyle w:val="Heading1"/>
      </w:pPr>
      <w:r>
        <w:t>118.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Design — no new component or service — a data-only addition to the eu.js and regional.js locale tables.</w:t>
      </w:r>
    </w:p>
    <w:p>
      <w:pPr>
        <w:pStyle w:val="Heading1"/>
      </w:pPr>
      <w:r>
        <w:t>119.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Design — no architecture change: netlify.toml only configures the existing Vite build output and client-side routing, mirroring the existing nginx.conf reverse-proxy relationship each app already has with the backend.</w:t>
      </w:r>
    </w:p>
    <w:p>
      <w:pPr>
        <w:pStyle w:val="Heading1"/>
      </w:pPr>
      <w:r>
        <w:t>120.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Design — no architecture change: a data-only addition to the existing content-glossary.ts PHRASES dictionary.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