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Deployment - one additive migration (four nullable order columns + a delivered_at back-fill) and a reseed. No config or infrastructure change.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Deployment - one additive migration (three tables + three enums) and a reseed (three permissions + role grants + connected channels + demo posts). No new infrastructure - the real job queue (BullMQ / Redis) and per-platform OAuth apps are the follow-on deployment concern recorded in doc 24.</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Deployment - a plain code deployment: no new migration, no new endpoint, no permission change. Re-running the seed is required to pick up the new Morise Milling Ltd catalogue on an existing database.</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Deployment - a plain re-seed; no migration, no new endpoint, no permission change.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Deployment - a plain re-seed; no migration, no new endpoint, no permission change.</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Deployment - this is the deployment change: backend/Dockerfile, frontend/Dockerfile and storefront/Dockerfile plus three docker-compose.yml service blocks. See this document's own Sections on environments and the standing deployment process for how this fits the group's broader (still-aspirational, cloud) deployment plan — this update covers local/on-prem containerization, not the AWS/ECS pipeline described elsewhere in this document.</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Deployment — front-end-only release; no migration.</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Deployment — front-end-only release; the dockerized storefront image was rebuilt and redeployed to serve the updated bundle.</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Deployment — this is the deployment change: two new Netlify sites, one netlify.toml per front-end app, an initial manual production deploy of each; continuous deployment from GitHub is a follow-up requiring the repository owner's one-time authorisation in Netlify's UI.</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Deployment — backend-only change; the backend Docker image was rebuilt and redeployed to serve the updated glossary.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